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C6" w:rsidRDefault="00705117" w:rsidP="00705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Lubrza</w:t>
      </w:r>
    </w:p>
    <w:p w:rsidR="00705117" w:rsidRDefault="00705117" w:rsidP="00705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podaje do publicznej wiadomości wykaz nieruchomości </w:t>
      </w:r>
      <w:r w:rsidR="00071CED">
        <w:rPr>
          <w:rFonts w:ascii="Times New Roman" w:hAnsi="Times New Roman" w:cs="Times New Roman"/>
          <w:b/>
          <w:sz w:val="24"/>
          <w:szCs w:val="24"/>
        </w:rPr>
        <w:t xml:space="preserve">położonych w obrębie wsi Mostki, </w:t>
      </w:r>
      <w:r>
        <w:rPr>
          <w:rFonts w:ascii="Times New Roman" w:hAnsi="Times New Roman" w:cs="Times New Roman"/>
          <w:b/>
          <w:sz w:val="24"/>
          <w:szCs w:val="24"/>
        </w:rPr>
        <w:t xml:space="preserve">przeznaczonych </w:t>
      </w:r>
      <w:r w:rsidR="00071CED">
        <w:rPr>
          <w:rFonts w:ascii="Times New Roman" w:hAnsi="Times New Roman" w:cs="Times New Roman"/>
          <w:b/>
          <w:sz w:val="24"/>
          <w:szCs w:val="24"/>
        </w:rPr>
        <w:t>do sprzedaży w drodze przetargu.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117" w:rsidRDefault="00705117" w:rsidP="007051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09"/>
        <w:gridCol w:w="2003"/>
        <w:gridCol w:w="2224"/>
        <w:gridCol w:w="2416"/>
        <w:gridCol w:w="1836"/>
      </w:tblGrid>
      <w:tr w:rsidR="00705117" w:rsidTr="0042316A">
        <w:tc>
          <w:tcPr>
            <w:tcW w:w="809" w:type="dxa"/>
          </w:tcPr>
          <w:p w:rsidR="00705117" w:rsidRDefault="00705117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003" w:type="dxa"/>
          </w:tcPr>
          <w:p w:rsidR="00705117" w:rsidRDefault="00705117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E459FB">
              <w:rPr>
                <w:rFonts w:ascii="Times New Roman" w:hAnsi="Times New Roman" w:cs="Times New Roman"/>
                <w:sz w:val="24"/>
                <w:szCs w:val="24"/>
              </w:rPr>
              <w:t>księgi wieczystej</w:t>
            </w:r>
          </w:p>
        </w:tc>
        <w:tc>
          <w:tcPr>
            <w:tcW w:w="2224" w:type="dxa"/>
          </w:tcPr>
          <w:p w:rsidR="00705117" w:rsidRDefault="00E459FB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2416" w:type="dxa"/>
          </w:tcPr>
          <w:p w:rsidR="00705117" w:rsidRDefault="00E459FB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nieruchomości (ha)</w:t>
            </w:r>
          </w:p>
        </w:tc>
        <w:tc>
          <w:tcPr>
            <w:tcW w:w="1836" w:type="dxa"/>
          </w:tcPr>
          <w:p w:rsidR="00705117" w:rsidRDefault="00E459FB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nieruchomości (netto)</w:t>
            </w:r>
            <w:r w:rsidR="0026530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2316A" w:rsidTr="0042316A">
        <w:tc>
          <w:tcPr>
            <w:tcW w:w="809" w:type="dxa"/>
          </w:tcPr>
          <w:p w:rsidR="0042316A" w:rsidRDefault="0042316A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42316A" w:rsidRDefault="0042316A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ZG1S/00017034/8</w:t>
            </w:r>
          </w:p>
        </w:tc>
        <w:tc>
          <w:tcPr>
            <w:tcW w:w="2224" w:type="dxa"/>
          </w:tcPr>
          <w:p w:rsidR="0042316A" w:rsidRDefault="0042316A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232/3</w:t>
            </w:r>
          </w:p>
        </w:tc>
        <w:tc>
          <w:tcPr>
            <w:tcW w:w="2416" w:type="dxa"/>
          </w:tcPr>
          <w:p w:rsidR="0042316A" w:rsidRDefault="0042316A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1836" w:type="dxa"/>
            <w:vMerge w:val="restart"/>
          </w:tcPr>
          <w:p w:rsidR="0042316A" w:rsidRDefault="00265304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</w:t>
            </w:r>
          </w:p>
        </w:tc>
      </w:tr>
      <w:tr w:rsidR="0042316A" w:rsidTr="0042316A">
        <w:tc>
          <w:tcPr>
            <w:tcW w:w="809" w:type="dxa"/>
          </w:tcPr>
          <w:p w:rsidR="0042316A" w:rsidRDefault="0042316A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42316A" w:rsidRDefault="0042316A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ZG1S/00017034/8</w:t>
            </w:r>
          </w:p>
        </w:tc>
        <w:tc>
          <w:tcPr>
            <w:tcW w:w="2224" w:type="dxa"/>
          </w:tcPr>
          <w:p w:rsidR="0042316A" w:rsidRDefault="0065710B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16A">
              <w:rPr>
                <w:rFonts w:ascii="Times New Roman" w:hAnsi="Times New Roman" w:cs="Times New Roman"/>
                <w:sz w:val="24"/>
                <w:szCs w:val="24"/>
              </w:rPr>
              <w:t>232/2</w:t>
            </w:r>
          </w:p>
        </w:tc>
        <w:tc>
          <w:tcPr>
            <w:tcW w:w="2416" w:type="dxa"/>
          </w:tcPr>
          <w:p w:rsidR="0042316A" w:rsidRDefault="0042316A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0,9200</w:t>
            </w:r>
          </w:p>
        </w:tc>
        <w:tc>
          <w:tcPr>
            <w:tcW w:w="1836" w:type="dxa"/>
            <w:vMerge/>
          </w:tcPr>
          <w:p w:rsidR="0042316A" w:rsidRDefault="0042316A" w:rsidP="0070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70B" w:rsidRDefault="0042316A" w:rsidP="00705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710B" w:rsidRDefault="00F17647" w:rsidP="0065710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nr 232/2</w:t>
      </w:r>
      <w:r w:rsidR="00970B32">
        <w:rPr>
          <w:rFonts w:ascii="Times New Roman" w:hAnsi="Times New Roman" w:cs="Times New Roman"/>
          <w:sz w:val="24"/>
          <w:szCs w:val="24"/>
        </w:rPr>
        <w:t xml:space="preserve"> – zabudowana pałacem </w:t>
      </w:r>
      <w:r w:rsidR="00877FFE">
        <w:rPr>
          <w:rFonts w:ascii="Times New Roman" w:hAnsi="Times New Roman" w:cs="Times New Roman"/>
          <w:sz w:val="24"/>
          <w:szCs w:val="24"/>
        </w:rPr>
        <w:t xml:space="preserve">neorenesansowym, </w:t>
      </w:r>
      <w:r w:rsidR="00970B32">
        <w:rPr>
          <w:rFonts w:ascii="Times New Roman" w:hAnsi="Times New Roman" w:cs="Times New Roman"/>
          <w:sz w:val="24"/>
          <w:szCs w:val="24"/>
        </w:rPr>
        <w:t xml:space="preserve">wolnostojącym, dwukondygnacyjnym, całkowicie podpiwniczonym </w:t>
      </w:r>
      <w:r w:rsidR="0065710B">
        <w:rPr>
          <w:rFonts w:ascii="Times New Roman" w:hAnsi="Times New Roman" w:cs="Times New Roman"/>
          <w:sz w:val="24"/>
          <w:szCs w:val="24"/>
        </w:rPr>
        <w:t xml:space="preserve"> z </w:t>
      </w:r>
      <w:r w:rsidR="00877FFE">
        <w:rPr>
          <w:rFonts w:ascii="Times New Roman" w:hAnsi="Times New Roman" w:cs="Times New Roman"/>
          <w:sz w:val="24"/>
          <w:szCs w:val="24"/>
        </w:rPr>
        <w:t xml:space="preserve">poddaszem użytkowym, </w:t>
      </w:r>
      <w:r w:rsidR="00970B32">
        <w:rPr>
          <w:rFonts w:ascii="Times New Roman" w:hAnsi="Times New Roman" w:cs="Times New Roman"/>
          <w:sz w:val="24"/>
          <w:szCs w:val="24"/>
        </w:rPr>
        <w:t>z dachem czterospadowym, o pow</w:t>
      </w:r>
      <w:r w:rsidR="00877FFE">
        <w:rPr>
          <w:rFonts w:ascii="Times New Roman" w:hAnsi="Times New Roman" w:cs="Times New Roman"/>
          <w:sz w:val="24"/>
          <w:szCs w:val="24"/>
        </w:rPr>
        <w:t>.</w:t>
      </w:r>
      <w:r w:rsidR="00970B32">
        <w:rPr>
          <w:rFonts w:ascii="Times New Roman" w:hAnsi="Times New Roman" w:cs="Times New Roman"/>
          <w:sz w:val="24"/>
          <w:szCs w:val="24"/>
        </w:rPr>
        <w:t xml:space="preserve"> zabudowy 837 m</w:t>
      </w:r>
      <w:r w:rsidR="00970B32" w:rsidRPr="00970B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0B32">
        <w:rPr>
          <w:rFonts w:ascii="Times New Roman" w:hAnsi="Times New Roman" w:cs="Times New Roman"/>
          <w:sz w:val="24"/>
          <w:szCs w:val="24"/>
        </w:rPr>
        <w:t>, kubaturze 13790 m</w:t>
      </w:r>
      <w:r w:rsidR="00970B32" w:rsidRPr="00970B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7FFE">
        <w:rPr>
          <w:rFonts w:ascii="Times New Roman" w:hAnsi="Times New Roman" w:cs="Times New Roman"/>
          <w:sz w:val="24"/>
          <w:szCs w:val="24"/>
        </w:rPr>
        <w:t xml:space="preserve"> i ogólnej powierzchni użytkowej 2371,44 m</w:t>
      </w:r>
      <w:r w:rsidR="00877FFE" w:rsidRPr="00877F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7FFE">
        <w:rPr>
          <w:rFonts w:ascii="Times New Roman" w:hAnsi="Times New Roman" w:cs="Times New Roman"/>
          <w:sz w:val="24"/>
          <w:szCs w:val="24"/>
        </w:rPr>
        <w:t>.</w:t>
      </w:r>
    </w:p>
    <w:p w:rsidR="0065710B" w:rsidRDefault="00877FFE" w:rsidP="0065710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77FFE">
        <w:rPr>
          <w:rFonts w:ascii="Times New Roman" w:hAnsi="Times New Roman" w:cs="Times New Roman"/>
          <w:sz w:val="24"/>
          <w:szCs w:val="24"/>
        </w:rPr>
        <w:t>Nieruchomość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970B32" w:rsidRPr="00877FFE">
        <w:rPr>
          <w:rFonts w:ascii="Times New Roman" w:hAnsi="Times New Roman" w:cs="Times New Roman"/>
          <w:sz w:val="24"/>
          <w:szCs w:val="24"/>
        </w:rPr>
        <w:t>uzbrojona</w:t>
      </w:r>
      <w:r w:rsidR="00970B32">
        <w:rPr>
          <w:rFonts w:ascii="Times New Roman" w:hAnsi="Times New Roman" w:cs="Times New Roman"/>
          <w:sz w:val="24"/>
          <w:szCs w:val="24"/>
        </w:rPr>
        <w:t xml:space="preserve"> w sieć energetyczną, wodociągową i kanalizacyjną. </w:t>
      </w:r>
    </w:p>
    <w:p w:rsidR="00F17647" w:rsidRDefault="00970B32" w:rsidP="0065710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Dojazd do nieruchomości drogą publiczną utwardzoną, brukow</w:t>
      </w:r>
      <w:r w:rsidR="00877FF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32" w:rsidRDefault="00970B32" w:rsidP="00AC0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nr 232/3 – część parku- stanowi integralną część pałacu.</w:t>
      </w:r>
    </w:p>
    <w:p w:rsidR="0042316A" w:rsidRDefault="0042316A" w:rsidP="00AC0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stanowi </w:t>
      </w:r>
      <w:r w:rsidR="00F17647">
        <w:rPr>
          <w:rFonts w:ascii="Times New Roman" w:hAnsi="Times New Roman" w:cs="Times New Roman"/>
          <w:sz w:val="24"/>
          <w:szCs w:val="24"/>
        </w:rPr>
        <w:t xml:space="preserve">główną </w:t>
      </w:r>
      <w:r>
        <w:rPr>
          <w:rFonts w:ascii="Times New Roman" w:hAnsi="Times New Roman" w:cs="Times New Roman"/>
          <w:sz w:val="24"/>
          <w:szCs w:val="24"/>
        </w:rPr>
        <w:t xml:space="preserve">część zespołu pałacowo-parkowego, wpisanego do rejestru zabytków </w:t>
      </w:r>
      <w:r w:rsidR="00F17647">
        <w:rPr>
          <w:rFonts w:ascii="Times New Roman" w:hAnsi="Times New Roman" w:cs="Times New Roman"/>
          <w:sz w:val="24"/>
          <w:szCs w:val="24"/>
        </w:rPr>
        <w:t xml:space="preserve">województwa lubuskiego </w:t>
      </w:r>
      <w:r>
        <w:rPr>
          <w:rFonts w:ascii="Times New Roman" w:hAnsi="Times New Roman" w:cs="Times New Roman"/>
          <w:sz w:val="24"/>
          <w:szCs w:val="24"/>
        </w:rPr>
        <w:t>pod nr L-421/A</w:t>
      </w:r>
    </w:p>
    <w:p w:rsidR="00AC070B" w:rsidRDefault="0042316A" w:rsidP="00AC070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Dla przedmiotowych nieruchomości brak jest planu zagospodarowania przestrzennego.</w:t>
      </w:r>
    </w:p>
    <w:p w:rsidR="0042316A" w:rsidRDefault="0042316A" w:rsidP="00AC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6A">
        <w:rPr>
          <w:rFonts w:ascii="Times New Roman" w:hAnsi="Times New Roman" w:cs="Times New Roman"/>
          <w:sz w:val="24"/>
          <w:szCs w:val="24"/>
        </w:rPr>
        <w:t>Zgodnie z ustaleniami Studium uwarunkowań i kierunków zagospodarowania przestrzennego Gminy Lubrza, zatwierdzonego Uchwałą Rady Gminy Nr III/27/2002 z 30 grudnia 2002r. przedmiotowe nieruchomości opisane zostały jako tereny usług z zielenią towarzyszącą.</w:t>
      </w:r>
    </w:p>
    <w:p w:rsidR="00AC070B" w:rsidRDefault="00AC070B" w:rsidP="00AC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FFE" w:rsidRDefault="009128B2" w:rsidP="0042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7FFE">
        <w:rPr>
          <w:rFonts w:ascii="Times New Roman" w:hAnsi="Times New Roman" w:cs="Times New Roman"/>
          <w:sz w:val="24"/>
          <w:szCs w:val="24"/>
        </w:rPr>
        <w:t>Wykaz niniejszy wywiesza się na okres 21 dni w siedzibie Urzędu gminy w Lubrzy ul. Świebodzińska68, a ponadto informację o wywieszeniu wykazu podaje się do publicznej wiadomości poprzez rozplakatowanie na słupach ogłoszeniowych w sołectwach, a także w prasie lokalnej i na st</w:t>
      </w:r>
      <w:r>
        <w:rPr>
          <w:rFonts w:ascii="Times New Roman" w:hAnsi="Times New Roman" w:cs="Times New Roman"/>
          <w:sz w:val="24"/>
          <w:szCs w:val="24"/>
        </w:rPr>
        <w:t>r</w:t>
      </w:r>
      <w:r w:rsidR="00877FFE">
        <w:rPr>
          <w:rFonts w:ascii="Times New Roman" w:hAnsi="Times New Roman" w:cs="Times New Roman"/>
          <w:sz w:val="24"/>
          <w:szCs w:val="24"/>
        </w:rPr>
        <w:t xml:space="preserve">onie internetowej </w:t>
      </w:r>
      <w:r>
        <w:rPr>
          <w:rFonts w:ascii="Times New Roman" w:hAnsi="Times New Roman" w:cs="Times New Roman"/>
          <w:sz w:val="24"/>
          <w:szCs w:val="24"/>
        </w:rPr>
        <w:t xml:space="preserve">Urzędu Gminy </w:t>
      </w:r>
      <w:hyperlink r:id="rId5" w:history="1">
        <w:r w:rsidRPr="00D4692B">
          <w:rPr>
            <w:rStyle w:val="Hipercze"/>
            <w:rFonts w:ascii="Times New Roman" w:hAnsi="Times New Roman" w:cs="Times New Roman"/>
            <w:sz w:val="24"/>
            <w:szCs w:val="24"/>
          </w:rPr>
          <w:t>WWW.lubrza.pl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28B2" w:rsidRDefault="009128B2" w:rsidP="0042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Osoby fizyczne i prawne, którym przysługuje pierwszeństwo w nabyciu nieruchomości na podstawie art. 34 ust. 1 pkt. 1 i pkt. 2 ustawy z dnia 21 sierpnia 1997r. o gospodarce nieruchomościami, (tekst jednolity Dz. U. z 2010 r. Nr 102, poz. 651 ze zmianami), w terminie 6 tygodni, licząc od dnia wywieszenia wykazu, mogą złożyć wniosek o nabycie podanej w wykazie nieruchomości.</w:t>
      </w:r>
    </w:p>
    <w:p w:rsidR="009128B2" w:rsidRDefault="002522D9" w:rsidP="0042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Lubrza, </w:t>
      </w:r>
      <w:r w:rsidR="003C17F8">
        <w:rPr>
          <w:rFonts w:ascii="Times New Roman" w:hAnsi="Times New Roman" w:cs="Times New Roman"/>
          <w:sz w:val="24"/>
          <w:szCs w:val="24"/>
        </w:rPr>
        <w:t xml:space="preserve">29 sierpnia </w:t>
      </w:r>
      <w:r w:rsidR="009128B2">
        <w:rPr>
          <w:rFonts w:ascii="Times New Roman" w:hAnsi="Times New Roman" w:cs="Times New Roman"/>
          <w:sz w:val="24"/>
          <w:szCs w:val="24"/>
        </w:rPr>
        <w:t xml:space="preserve">2012 r. </w:t>
      </w:r>
    </w:p>
    <w:p w:rsidR="00F17647" w:rsidRDefault="00F17647" w:rsidP="0042316A">
      <w:pPr>
        <w:rPr>
          <w:rFonts w:ascii="Times New Roman" w:hAnsi="Times New Roman" w:cs="Times New Roman"/>
          <w:sz w:val="24"/>
          <w:szCs w:val="24"/>
        </w:rPr>
      </w:pPr>
    </w:p>
    <w:p w:rsidR="0042316A" w:rsidRPr="0042316A" w:rsidRDefault="0042316A" w:rsidP="00423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2316A" w:rsidRPr="00705117" w:rsidRDefault="0042316A" w:rsidP="00705117">
      <w:pPr>
        <w:rPr>
          <w:rFonts w:ascii="Times New Roman" w:hAnsi="Times New Roman" w:cs="Times New Roman"/>
          <w:sz w:val="24"/>
          <w:szCs w:val="24"/>
        </w:rPr>
      </w:pPr>
    </w:p>
    <w:sectPr w:rsidR="0042316A" w:rsidRPr="00705117" w:rsidSect="006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35D2"/>
    <w:multiLevelType w:val="hybridMultilevel"/>
    <w:tmpl w:val="E01AE7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521DC7"/>
    <w:multiLevelType w:val="hybridMultilevel"/>
    <w:tmpl w:val="1DBAD9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05117"/>
    <w:rsid w:val="00036196"/>
    <w:rsid w:val="00071CED"/>
    <w:rsid w:val="00092557"/>
    <w:rsid w:val="002522D9"/>
    <w:rsid w:val="00265304"/>
    <w:rsid w:val="002E3109"/>
    <w:rsid w:val="003C17F8"/>
    <w:rsid w:val="003E75AE"/>
    <w:rsid w:val="0042316A"/>
    <w:rsid w:val="0051432B"/>
    <w:rsid w:val="00607344"/>
    <w:rsid w:val="00625B6A"/>
    <w:rsid w:val="0065710B"/>
    <w:rsid w:val="006728C6"/>
    <w:rsid w:val="00705117"/>
    <w:rsid w:val="00877FFE"/>
    <w:rsid w:val="009128B2"/>
    <w:rsid w:val="00970B32"/>
    <w:rsid w:val="00AC070B"/>
    <w:rsid w:val="00D07BDC"/>
    <w:rsid w:val="00E459FB"/>
    <w:rsid w:val="00F17647"/>
    <w:rsid w:val="00F7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1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6</cp:revision>
  <cp:lastPrinted>2012-05-15T10:24:00Z</cp:lastPrinted>
  <dcterms:created xsi:type="dcterms:W3CDTF">2012-05-22T06:39:00Z</dcterms:created>
  <dcterms:modified xsi:type="dcterms:W3CDTF">2012-08-29T10:42:00Z</dcterms:modified>
</cp:coreProperties>
</file>