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AA" w:rsidRPr="00DD45AA" w:rsidRDefault="00DD45AA" w:rsidP="00DD45AA">
      <w:pPr>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Informacje dodatkowe do opisu przedmiotu zamówienia:</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Zgodnie z dokumentacja projektową należy wykonać elewację z płyt laminowanych dlatego należy ją wycenić w kosztorysie ofertowym i ująć w ostatecznej cenie;</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Zgodnie z dokumentacja projektową należy wykonać okładzinę ścienna sali audytoryjnej, dlatego należy ją wycenić w kosztorysie ofertowym i ująć w ostatecznej cenie;</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Zgodnie z dokumentacją projektową w Sali audytoryjnej przewidzianych jest 149 miejsc siedzących. W związku z powyższym w kosztorysie ofertowym w części wyposażenia należy ująć pozycję wyposażenia Sali audytoryjnej w 149 miejsc siedzących.</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Rozmieszczenie foteli należy wykonać zgodnie z dokumentacją projektową.</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Fotele wykonane w zabudowie rzędowej ze wspólnym podłokietnikiem dla sąsiadujących foteli, dopuszczalne obciążenie fotela co najmniej 150 kg. Wymagane niezbędne atesty i certyfikaty.</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Wymiary fotela: - wysokość całkowita: 85-95 cm, głębokość po rozłożeniu siedziska 45-55cm, szerokość fotela po rozłożeniu siedziska maks. 75,0cm, szerokość modułu fotela w osiach podłokietników 55-60 cm, szerokość podłokietnika 4 - 6 cm, podłokietnik drewniany kolor podłokietnika ciemny, fotel tapicerowany, kolor tapicerki - kolor szary.</w:t>
      </w:r>
    </w:p>
    <w:p w:rsidR="00DD45AA" w:rsidRPr="00DD45AA" w:rsidRDefault="00DD45AA" w:rsidP="00DD45AA">
      <w:pPr>
        <w:spacing w:after="0" w:line="240" w:lineRule="auto"/>
        <w:ind w:left="502"/>
        <w:jc w:val="both"/>
        <w:rPr>
          <w:rFonts w:ascii="Arial" w:eastAsia="Times New Roman" w:hAnsi="Arial" w:cs="Arial"/>
          <w:kern w:val="1"/>
          <w:lang w:eastAsia="ar-SA"/>
        </w:rPr>
      </w:pP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Podłoga widowni wykonana w systemie podłogi podniesionej monolitycznej wiórowej. Odporność REI 30 ▪ System konstrukcji typu audytorium - tworzący stopnie różnych wysokości - wolno stojące słupki klejone lub przykręcane do podłoża w technologii producenta w rozstawie 600 x 600mm, spięte trawersami BR-03 lub profilami C40x40 zgodnie z PNEN 1366-6. ▪ Wysoko zagęszczona płyta wiórowa. Wymiar płyty 1200 x 600 x 38 mm. Wierzch płyty bez aplikacji, blacha stalowa od spodu. Płyty układane i przyklejane do konstrukcji wsporczej. ▪ Stopka do podłogi podniesionej Płynna regulacja wysokości, stal ocynkowana ST3SX, precyzyjne prowadzenie bolca nastawnego, różna budowa konstrukcji dla różnych wysokości. ▪ Klej Stopka mocowana jest do podłoża klejem poliuretanowym lub za pomocą kołków. Płyty przyklejane do konstrukcji wsporczej i pomiędzy sobą klejem systemowym ▪ Akcesoria. W ofercie przewidzieć wszystkie niezbędne akcesoria. ▪ Wykończenie. Wykładzina w kolorze jak w projekcie. ▪ Instalacja foteli. Przed montażem podłogi konieczne jest zatwierdzenie przez zamawiającego technologii montażu foteli / siedzisk oraz skoordynowanie wykonywanego w podłodze otworowania pod oświetlenie, wentylację. ▪ Na wszystkich stopniach schodów widowni zastosować oświetlenie przeszkodowe, źródła światła usytuowano tak, aby nie były one widziane bezpośrednio.</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Umeblowanie nie wchodzi w zakres projektu.</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Na przekroju „b-b” na posadzce „P3” warstwą wykończeniową jest gres, natomiast na przekroju „c-c” na posadzce zamiast  „P3” powinno być „P4”, warstwą wykończeniową jest wykładzina PCV;</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Pr>
          <w:rFonts w:ascii="Arial" w:eastAsia="Times New Roman" w:hAnsi="Arial" w:cs="Arial"/>
          <w:kern w:val="1"/>
          <w:lang w:eastAsia="ar-SA"/>
        </w:rPr>
        <w:t>W załączniku nr 12</w:t>
      </w:r>
      <w:r w:rsidRPr="00DD45AA">
        <w:rPr>
          <w:rFonts w:ascii="Arial" w:eastAsia="Times New Roman" w:hAnsi="Arial" w:cs="Arial"/>
          <w:kern w:val="1"/>
          <w:lang w:eastAsia="ar-SA"/>
        </w:rPr>
        <w:t xml:space="preserve"> dołączona została dokumentacja geotechniczna;</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Należy wycenić windę dwu przystankową o wymiarach szybu jak w projekcie, udźwig 630kg, z podszybiem, z przeznaczeniem dla osób niepełnosprawnych;</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Należy zastosować agregat zewnętrzny kontenerowy w obudowie wyciszonej. Agregat będzie zlokalizowany przy kablu zasilającym budowany obiekt, a jego dokładna lokalizacja zostanie ustalona na etapie wykonawstwa. Posadowienie kontenera na gruncie należy wykonać zgodnie z zaleceniami danego producenta;</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W przypadku braku  jakiejkolwiek pozycji w załączonym przedmiarze robót należy w kosztorysie ofertowym dodać jedną pozycję jako analizę własną pod nazwą „pozostałe koszty”, w której należy ująć wszystkie niezbędne koszty do prawidłowego wykonania inwestycji zgodnie z załączoną dokumentacją projektową oraz opisem przedmiotu zamówienia;</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Zamawiający nie przewiduje wzmocnienia fundamentów istniejącego budynku;</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Stolarkę i ślusarkę nowobudowanego obiektu należy wycenić zgodnie z dokumentacja projektową;</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lastRenderedPageBreak/>
        <w:t xml:space="preserve"> W </w:t>
      </w:r>
      <w:r w:rsidRPr="00194F01">
        <w:rPr>
          <w:rFonts w:ascii="Arial" w:eastAsia="Times New Roman" w:hAnsi="Arial" w:cs="Arial"/>
          <w:kern w:val="1"/>
          <w:lang w:eastAsia="ar-SA"/>
        </w:rPr>
        <w:t>przypadku ścianek składanych oznaczonych symbolami Dw11 oraz Dw12 należy przyjąć wykonanie ściany działowej pełnej grubości 12 cm zgodnie z dokumentacją projektową wraz z drzwiami Dw7. Ponadto należy ująć w kosztach doprowadzenie energii elektrycznej i montaż dwóch opraw oświetleniowych wraz z włącznikiem w zapleczu kuchennym w Sali Narad takich samych jak w Sali Narad;</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Przy przyjęciu ilości stali zbrojeniowej należy kierować się przedmiarem robót oraz własnymi wyliczeniami z dokumentacji projektowej;</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Rozdzielnice mają posiadać typ obudowy podtynkowy;</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Obudowy rozdzielnic mają mieć stopień IP 40;</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Obudowy rozdzielnic mają być w klasie I izolacji;</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W szafie SZP ma być zamontowana automatyka SZR sterująca wyłącznikami zasilającymi;</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 xml:space="preserve">Ogrodzenie do rozbiórki przeznaczone jest na całym odcinku od strony ulicy, z której ma się odbywać wjazd na teren na odcinku 51.50 m. Planowana jest samonośna brama przesuwna z napędem PI 95 przeznaczona jest do zamknięcia wjazdów o szerokości przejazdu do 7 metrów. </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Cechy charakterystyczne bramy (</w:t>
      </w:r>
      <w:r w:rsidR="00194F01">
        <w:rPr>
          <w:rFonts w:ascii="Arial" w:eastAsia="Times New Roman" w:hAnsi="Arial" w:cs="Arial"/>
          <w:kern w:val="1"/>
          <w:lang w:eastAsia="ar-SA"/>
        </w:rPr>
        <w:t>wzór w załączniku nr 13</w:t>
      </w:r>
      <w:r w:rsidRPr="00DD45AA">
        <w:rPr>
          <w:rFonts w:ascii="Arial" w:eastAsia="Times New Roman" w:hAnsi="Arial" w:cs="Arial"/>
          <w:kern w:val="1"/>
          <w:lang w:eastAsia="ar-SA"/>
        </w:rPr>
        <w:t>):</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xml:space="preserve">- szyna jezdna 95 x 85 mm, </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xml:space="preserve">- podwójna rama prowadząca w bramie ręcznej, </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xml:space="preserve">- pojedynczy słup zamykający wyposażony w chwytak, </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xml:space="preserve">- tylna podpora stabilizująca skrzydło po jego otwarciu (w zależności od szerokości bramy), </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xml:space="preserve">- brama z napędem umieszczonym w słupie z zamknięciem w postaci pokrywy, </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możliwość wykonania z napędem zewnętrznym.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Ogrodzenie z bramką wejściową (</w:t>
      </w:r>
      <w:r w:rsidR="00194F01">
        <w:rPr>
          <w:rFonts w:ascii="Arial" w:eastAsia="Times New Roman" w:hAnsi="Arial" w:cs="Arial"/>
          <w:kern w:val="1"/>
          <w:lang w:eastAsia="ar-SA"/>
        </w:rPr>
        <w:t>wzór w załączniku nr 13</w:t>
      </w:r>
      <w:r w:rsidRPr="00DD45AA">
        <w:rPr>
          <w:rFonts w:ascii="Arial" w:eastAsia="Times New Roman" w:hAnsi="Arial" w:cs="Arial"/>
          <w:kern w:val="1"/>
          <w:lang w:eastAsia="ar-SA"/>
        </w:rPr>
        <w:t>):</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wypełnienie z kształtowników zamkniętych 20 x 20 mm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spawane przelotowo do poprzeczek z ceowników 30 x 40 mm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maksymalna wysokość 2 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możliwość montażu do słupka stalowego lub murowanego</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W ramach przebudowy należy wykonać przejście do nowobudowanego obiektu wraz z wykończeniem wykonywanego przejścia.</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Zaleca się dokonanie wizji lokalnej;</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Prace dotyczące dróg i placów wewnętrznych należy wycenić i wykonać zgodnie z projektem zagospodarowania terenu oraz rysunkami oznaczonymi symbolami D1 - D4. Rzędne wysokościowe należy dostosować do istniejącego poziomu terenu z zachowaniem spadków poprzecznych i podłużnych zgodnych z warunkami technicznymi określonymi w Rozporządzeniu Ministra Transportu i Gospodarki Morskiej z dnia 2 marca 1999 r. w sprawie warunków technicznych, jakim powinny odpowiadać drogi publiczne i ich usytuowanie;</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Charakterystyka ławek i stojaków rowerowych:</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a.</w:t>
      </w:r>
      <w:r w:rsidRPr="00DD45AA">
        <w:rPr>
          <w:rFonts w:ascii="Arial" w:eastAsia="Times New Roman" w:hAnsi="Arial" w:cs="Arial"/>
          <w:kern w:val="1"/>
          <w:lang w:eastAsia="ar-SA"/>
        </w:rPr>
        <w:tab/>
        <w:t>Ławki:</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10 szt. – zgodnie ze wzorem w załączniku</w:t>
      </w:r>
      <w:r w:rsidR="00194F01">
        <w:rPr>
          <w:rFonts w:ascii="Arial" w:eastAsia="Times New Roman" w:hAnsi="Arial" w:cs="Arial"/>
          <w:kern w:val="1"/>
          <w:lang w:eastAsia="ar-SA"/>
        </w:rPr>
        <w:t xml:space="preserve"> nr 13</w:t>
      </w:r>
      <w:r w:rsidRPr="00DD45AA">
        <w:rPr>
          <w:rFonts w:ascii="Arial" w:eastAsia="Times New Roman" w:hAnsi="Arial" w:cs="Arial"/>
          <w:kern w:val="1"/>
          <w:lang w:eastAsia="ar-SA"/>
        </w:rPr>
        <w:t>.</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Charakterystyka ławki:</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xml:space="preserve">• Deski: drewno iglaste, malowane </w:t>
      </w:r>
      <w:proofErr w:type="spellStart"/>
      <w:r w:rsidRPr="00DD45AA">
        <w:rPr>
          <w:rFonts w:ascii="Arial" w:eastAsia="Times New Roman" w:hAnsi="Arial" w:cs="Arial"/>
          <w:kern w:val="1"/>
          <w:lang w:eastAsia="ar-SA"/>
        </w:rPr>
        <w:t>lakierobejcą</w:t>
      </w:r>
      <w:proofErr w:type="spellEnd"/>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Nogi: wykonane z profilu zamkniętego 50x50, piaskowane i malowane proszkowo</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Opcja: nogi ocynkowane galwanicznie i malowane proszkowo</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Wymiary:</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długość : 170 cm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wysokość całkowita : 79 cm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wysokość siedziska : 45 cm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głębokość siedziska : 45 cm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Montaż:</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Za pomocą śrub bezpośrednio do utwardzonego podłoża bądź kotwami do zabetonowania w gruncie.</w:t>
      </w:r>
    </w:p>
    <w:p w:rsidR="00DD45AA" w:rsidRPr="00DD45AA" w:rsidRDefault="00DD45AA" w:rsidP="00DD45AA">
      <w:pPr>
        <w:spacing w:after="0" w:line="240" w:lineRule="auto"/>
        <w:ind w:left="502"/>
        <w:jc w:val="both"/>
        <w:rPr>
          <w:rFonts w:ascii="Arial" w:eastAsia="Times New Roman" w:hAnsi="Arial" w:cs="Arial"/>
          <w:kern w:val="1"/>
          <w:lang w:eastAsia="ar-SA"/>
        </w:rPr>
      </w:pP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b.</w:t>
      </w:r>
      <w:r w:rsidRPr="00DD45AA">
        <w:rPr>
          <w:rFonts w:ascii="Arial" w:eastAsia="Times New Roman" w:hAnsi="Arial" w:cs="Arial"/>
          <w:kern w:val="1"/>
          <w:lang w:eastAsia="ar-SA"/>
        </w:rPr>
        <w:tab/>
        <w:t>Stojak rowerowy:</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xml:space="preserve">parametry: </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Ilość stanowisk</w:t>
      </w:r>
      <w:r w:rsidRPr="00DD45AA">
        <w:rPr>
          <w:rFonts w:ascii="Arial" w:eastAsia="Times New Roman" w:hAnsi="Arial" w:cs="Arial"/>
          <w:kern w:val="1"/>
          <w:lang w:eastAsia="ar-SA"/>
        </w:rPr>
        <w:tab/>
        <w:t>21</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Długość</w:t>
      </w:r>
      <w:r w:rsidRPr="00DD45AA">
        <w:rPr>
          <w:rFonts w:ascii="Arial" w:eastAsia="Times New Roman" w:hAnsi="Arial" w:cs="Arial"/>
          <w:kern w:val="1"/>
          <w:lang w:eastAsia="ar-SA"/>
        </w:rPr>
        <w:tab/>
        <w:t>7050 mm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Szerokość</w:t>
      </w:r>
      <w:r w:rsidRPr="00DD45AA">
        <w:rPr>
          <w:rFonts w:ascii="Arial" w:eastAsia="Times New Roman" w:hAnsi="Arial" w:cs="Arial"/>
          <w:kern w:val="1"/>
          <w:lang w:eastAsia="ar-SA"/>
        </w:rPr>
        <w:tab/>
        <w:t>590 mm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Wysokość</w:t>
      </w:r>
      <w:r w:rsidRPr="00DD45AA">
        <w:rPr>
          <w:rFonts w:ascii="Arial" w:eastAsia="Times New Roman" w:hAnsi="Arial" w:cs="Arial"/>
          <w:kern w:val="1"/>
          <w:lang w:eastAsia="ar-SA"/>
        </w:rPr>
        <w:tab/>
        <w:t>Wyższa noga 630 mm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Szerokość miejsca na koło</w:t>
      </w:r>
      <w:r w:rsidRPr="00DD45AA">
        <w:rPr>
          <w:rFonts w:ascii="Arial" w:eastAsia="Times New Roman" w:hAnsi="Arial" w:cs="Arial"/>
          <w:kern w:val="1"/>
          <w:lang w:eastAsia="ar-SA"/>
        </w:rPr>
        <w:tab/>
        <w:t>60 mm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Materiał</w:t>
      </w:r>
      <w:r w:rsidRPr="00DD45AA">
        <w:rPr>
          <w:rFonts w:ascii="Arial" w:eastAsia="Times New Roman" w:hAnsi="Arial" w:cs="Arial"/>
          <w:kern w:val="1"/>
          <w:lang w:eastAsia="ar-SA"/>
        </w:rPr>
        <w:tab/>
        <w:t>Aluminium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Montaż</w:t>
      </w:r>
      <w:r w:rsidRPr="00DD45AA">
        <w:rPr>
          <w:rFonts w:ascii="Arial" w:eastAsia="Times New Roman" w:hAnsi="Arial" w:cs="Arial"/>
          <w:kern w:val="1"/>
          <w:lang w:eastAsia="ar-SA"/>
        </w:rPr>
        <w:tab/>
        <w:t>Do podłoża kołkami rozporowymi</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Kolor</w:t>
      </w:r>
      <w:r w:rsidRPr="00DD45AA">
        <w:rPr>
          <w:rFonts w:ascii="Arial" w:eastAsia="Times New Roman" w:hAnsi="Arial" w:cs="Arial"/>
          <w:kern w:val="1"/>
          <w:lang w:eastAsia="ar-SA"/>
        </w:rPr>
        <w:tab/>
        <w:t>Aluminium - srebrny</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Ilość śrub potrzebnych do montażu</w:t>
      </w:r>
      <w:r w:rsidRPr="00DD45AA">
        <w:rPr>
          <w:rFonts w:ascii="Arial" w:eastAsia="Times New Roman" w:hAnsi="Arial" w:cs="Arial"/>
          <w:kern w:val="1"/>
          <w:lang w:eastAsia="ar-SA"/>
        </w:rPr>
        <w:tab/>
        <w:t>24 szt.</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Sugerowana długość kołka do montażu</w:t>
      </w:r>
      <w:r w:rsidRPr="00DD45AA">
        <w:rPr>
          <w:rFonts w:ascii="Arial" w:eastAsia="Times New Roman" w:hAnsi="Arial" w:cs="Arial"/>
          <w:kern w:val="1"/>
          <w:lang w:eastAsia="ar-SA"/>
        </w:rPr>
        <w:tab/>
        <w:t>100 mm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Średnica otworu w ramie stojaka na kołek do montażu</w:t>
      </w:r>
      <w:r w:rsidRPr="00DD45AA">
        <w:rPr>
          <w:rFonts w:ascii="Arial" w:eastAsia="Times New Roman" w:hAnsi="Arial" w:cs="Arial"/>
          <w:kern w:val="1"/>
          <w:lang w:eastAsia="ar-SA"/>
        </w:rPr>
        <w:tab/>
        <w:t>10 mm</w:t>
      </w:r>
      <w:r w:rsidRPr="00DD45AA">
        <w:rPr>
          <w:rFonts w:ascii="Arial" w:eastAsia="Times New Roman" w:hAnsi="Arial" w:cs="Arial"/>
          <w:kern w:val="1"/>
          <w:lang w:eastAsia="ar-SA"/>
        </w:rPr>
        <w:tab/>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Wzór stojaka w załączniku</w:t>
      </w:r>
      <w:r w:rsidR="00194F01">
        <w:rPr>
          <w:rFonts w:ascii="Arial" w:eastAsia="Times New Roman" w:hAnsi="Arial" w:cs="Arial"/>
          <w:kern w:val="1"/>
          <w:lang w:eastAsia="ar-SA"/>
        </w:rPr>
        <w:t xml:space="preserve"> nr 13</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 xml:space="preserve"> Jasno szare prostokąty na terenach zielonych to utwardzenia dekoracyjne w postaci grysu granitowego o grubości 5-10 cm wysypanego na geowłókninie (frakcja 16-22 mm) w obrzeżu betonowym 6x20 cm. W zakres zadania wchodzi przygotowanie ziemi  wraz z obsianiem trawą. W przypadku występowania warunków atmosferycznych uniemożliwiających obsianie trawą, należy w ostatecznej cenie oferty uwzględnić wykonanie trawnika z rolki.</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Należy wycenić i wykonać mury z gazobetonu klasy min. 600;</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Prace związane z instalacja solarną należy wycenić zgodnie z załączoną dokumentacją projektową i ostateczną cenę wykonania instalacji solarnej przyjąć w pozycji nr 253 przedmiaru robót;</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Modernizacje kotłowni należy wycenić zgodnie z załączoną dokumentacją projektową i ostateczną cenę modernizacji kotłowni przyjąć w pozycji nr 254 przedmiaru robót;</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 xml:space="preserve"> Należy wykonać boks śmietnikowy w oparciu o załączone zdjęcie</w:t>
      </w:r>
      <w:r w:rsidR="00194F01">
        <w:rPr>
          <w:rFonts w:ascii="Arial" w:eastAsia="Times New Roman" w:hAnsi="Arial" w:cs="Arial"/>
          <w:kern w:val="1"/>
          <w:lang w:eastAsia="ar-SA"/>
        </w:rPr>
        <w:t xml:space="preserve"> w załączniku nr 13</w:t>
      </w:r>
      <w:r w:rsidRPr="00DD45AA">
        <w:rPr>
          <w:rFonts w:ascii="Arial" w:eastAsia="Times New Roman" w:hAnsi="Arial" w:cs="Arial"/>
          <w:kern w:val="1"/>
          <w:lang w:eastAsia="ar-SA"/>
        </w:rPr>
        <w:t xml:space="preserve"> o wymiarach: długość: 2,5 m, szerokość: 2,0 m, wysokość: 2,2 m;</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Centrala wentylacyjna jest wyposażona w chłodnicę o mocy 16kW zasilaną przez agregat, który może stanowić część centrali (być jej integralną częścią) lub zamontowany dodatkowo, tak aby chłodnica spełniała swoją funkcję. Wybór zależy od oferenta. Zamierzeniem projektanta jest funkcja chłodzenia powietrza przez chłodnicę o mocy 16kW, w sposób jej zasilania (agregat, woda lodowa) jest decyzją oferenta;</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Należy zastosować oprawy LED oświetlenia zewnętrznego na słupach o mocy od 12 do 14 W;</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Należy wykonać opaskę wokół budynku z kostki brukowej szarej gr. 8 cm na podsypce cementowo-piaskowej wraz z obrzeżem 6x20 cm;</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Zasilaniu obiektu należy wykonać kablem YKY 5x50mm2;</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W oświetleniu zewnętrznym należy wykonać 9 słupów zgodnie z Rys. IE6;</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Oprawy akcentujące na elewacji strumień światła góra-dół – to oprawa montowane na elewacji. Moc oprawy taka jak do oświetlenia sali audytoryjnej;</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Oprawy akcentujące na elewacji strumień światła dół – to oprawa montowane na elewacji. Moc oprawy taka jak do oświetlenia sali audytoryjnej;</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W zakresie branży elektrycznej jest wykonanie kompletnej instalacji fotowoltaicznej;</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Czas podtrzymania UPS 10kVA to minimum 30 minut;</w:t>
      </w:r>
    </w:p>
    <w:p w:rsidR="00DD45AA" w:rsidRPr="00DD45AA" w:rsidRDefault="00DD45AA" w:rsidP="00DD45AA">
      <w:pPr>
        <w:numPr>
          <w:ilvl w:val="1"/>
          <w:numId w:val="1"/>
        </w:numPr>
        <w:tabs>
          <w:tab w:val="left" w:pos="709"/>
        </w:tabs>
        <w:suppressAutoHyphens/>
        <w:spacing w:after="0" w:line="240" w:lineRule="auto"/>
        <w:rPr>
          <w:rFonts w:ascii="Arial" w:eastAsia="Times New Roman" w:hAnsi="Arial" w:cs="Arial"/>
          <w:kern w:val="1"/>
          <w:lang w:eastAsia="ar-SA"/>
        </w:rPr>
      </w:pPr>
      <w:r w:rsidRPr="00DD45AA">
        <w:rPr>
          <w:rFonts w:ascii="Arial" w:eastAsia="Times New Roman" w:hAnsi="Arial" w:cs="Arial"/>
          <w:kern w:val="1"/>
          <w:lang w:eastAsia="ar-SA"/>
        </w:rPr>
        <w:t>Moc agregatu 60 kVA to moc znamionowa;</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Układ sterowania w szafie SZP ma się składać z przełącznika sieć/agregat i z układu zdalnego start agregatu. Zamawiający nie wskazuje czy to ma być stacyjka czy zdublowany panel kontrolny;</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Blaty łazienkowe są w zakresie dostawy i montażu Wykonawcy;</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Pochwyty dla niepełnosprawnych w łazience są w zakresie dostawy i montażu Wykonawcy;</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lastRenderedPageBreak/>
        <w:t>W zakres robót nie wchodzi wycinka drzew;</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Modernizacja kotłowni obejmuje taki zakres jaki został przedstawiony w dokumentacji projektowej. W kosztach wykonania modernizacji należy ująć również demontaż urządzeń istniejącej kotłowni i transport materiałów z rozbiórki w miejsce wskazane przez Zamawiającego na odległość ok. 2 km.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Zaleca się, aby Wykonawca przed upływem terminu na złożenie ofert dokonał wizji lokalnej;</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Należy wykonać parapety wewnętrzne z PCV;</w:t>
      </w:r>
    </w:p>
    <w:p w:rsidR="00DD45AA" w:rsidRPr="00DD45AA" w:rsidRDefault="00DD45AA" w:rsidP="00DD45AA">
      <w:pPr>
        <w:numPr>
          <w:ilvl w:val="1"/>
          <w:numId w:val="1"/>
        </w:numPr>
        <w:tabs>
          <w:tab w:val="left" w:pos="709"/>
        </w:tabs>
        <w:suppressAutoHyphens/>
        <w:spacing w:after="0" w:line="240" w:lineRule="auto"/>
        <w:rPr>
          <w:rFonts w:ascii="Arial" w:eastAsia="Times New Roman" w:hAnsi="Arial" w:cs="Arial"/>
          <w:kern w:val="1"/>
          <w:lang w:eastAsia="ar-SA"/>
        </w:rPr>
      </w:pPr>
      <w:r w:rsidRPr="00DD45AA">
        <w:rPr>
          <w:rFonts w:ascii="Arial" w:eastAsia="Times New Roman" w:hAnsi="Arial" w:cs="Arial"/>
          <w:kern w:val="1"/>
          <w:lang w:eastAsia="ar-SA"/>
        </w:rPr>
        <w:t>W miejscach, gdzie w dokumentacji projektowej nie wskazano wykonanie sufitów podwieszanych należy wykonać tynkowanie sufitów wraz z gruntowaniem i dwukrotnym pomalowaniem na biało;</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Należy zastosować wykładziny PCV o następujących parametrach:</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klasa użytkowa wg EN 685: 34/43</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grubość całkowita wykładziny wg EN 428: 2,00 mm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xml:space="preserve">•            grubość warstwy użytkowej wg EN 429: 2,0 mm </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waga całkowita wg EN 430: 2800 g/m2</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klasa ścieralności wg  EN 660-2 Grupa T: ≤ 2,00 mm³</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wgniecenie resztkowe wg EN 433: ≤ 0,02mm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xml:space="preserve">•            zabezpieczenie powierzchni: </w:t>
      </w:r>
      <w:proofErr w:type="spellStart"/>
      <w:r w:rsidRPr="00DD45AA">
        <w:rPr>
          <w:rFonts w:ascii="Arial" w:eastAsia="Times New Roman" w:hAnsi="Arial" w:cs="Arial"/>
          <w:kern w:val="1"/>
          <w:lang w:eastAsia="ar-SA"/>
        </w:rPr>
        <w:t>iQ</w:t>
      </w:r>
      <w:proofErr w:type="spellEnd"/>
      <w:r w:rsidRPr="00DD45AA">
        <w:rPr>
          <w:rFonts w:ascii="Arial" w:eastAsia="Times New Roman" w:hAnsi="Arial" w:cs="Arial"/>
          <w:kern w:val="1"/>
          <w:lang w:eastAsia="ar-SA"/>
        </w:rPr>
        <w:t xml:space="preserve"> PUR</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właściwości elektrostatyczne wg EN 1815:  ≤ 2kV – antystatyczna</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xml:space="preserve">•            </w:t>
      </w:r>
      <w:proofErr w:type="spellStart"/>
      <w:r w:rsidRPr="00DD45AA">
        <w:rPr>
          <w:rFonts w:ascii="Arial" w:eastAsia="Times New Roman" w:hAnsi="Arial" w:cs="Arial"/>
          <w:kern w:val="1"/>
          <w:lang w:eastAsia="ar-SA"/>
        </w:rPr>
        <w:t>Clean</w:t>
      </w:r>
      <w:proofErr w:type="spellEnd"/>
      <w:r w:rsidRPr="00DD45AA">
        <w:rPr>
          <w:rFonts w:ascii="Arial" w:eastAsia="Times New Roman" w:hAnsi="Arial" w:cs="Arial"/>
          <w:kern w:val="1"/>
          <w:lang w:eastAsia="ar-SA"/>
        </w:rPr>
        <w:t xml:space="preserve"> </w:t>
      </w:r>
      <w:proofErr w:type="spellStart"/>
      <w:r w:rsidRPr="00DD45AA">
        <w:rPr>
          <w:rFonts w:ascii="Arial" w:eastAsia="Times New Roman" w:hAnsi="Arial" w:cs="Arial"/>
          <w:kern w:val="1"/>
          <w:lang w:eastAsia="ar-SA"/>
        </w:rPr>
        <w:t>room</w:t>
      </w:r>
      <w:proofErr w:type="spellEnd"/>
      <w:r w:rsidRPr="00DD45AA">
        <w:rPr>
          <w:rFonts w:ascii="Arial" w:eastAsia="Times New Roman" w:hAnsi="Arial" w:cs="Arial"/>
          <w:kern w:val="1"/>
          <w:lang w:eastAsia="ar-SA"/>
        </w:rPr>
        <w:t xml:space="preserve"> test (pomieszczenia sterylne) AST M F51/00: Klasa A     </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właściwości antypoślizgowe  wg DIN 51130:  R9,  EN 14041:  DS</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stabilność wymiarowa wg EN 434: ≤ 0,4  %</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dobra odporność chemiczna</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            klasa palności Bfls1</w:t>
      </w:r>
    </w:p>
    <w:p w:rsidR="00DD45AA" w:rsidRPr="00DD45AA" w:rsidRDefault="00194F01" w:rsidP="00DD45AA">
      <w:pPr>
        <w:spacing w:after="0" w:line="240" w:lineRule="auto"/>
        <w:ind w:left="502"/>
        <w:jc w:val="both"/>
        <w:rPr>
          <w:rFonts w:ascii="Arial" w:eastAsia="Times New Roman" w:hAnsi="Arial" w:cs="Arial"/>
          <w:kern w:val="1"/>
          <w:lang w:eastAsia="ar-SA"/>
        </w:rPr>
      </w:pPr>
      <w:r>
        <w:rPr>
          <w:rFonts w:ascii="Arial" w:eastAsia="Times New Roman" w:hAnsi="Arial" w:cs="Arial"/>
          <w:kern w:val="1"/>
          <w:lang w:eastAsia="ar-SA"/>
        </w:rPr>
        <w:t xml:space="preserve">•     </w:t>
      </w:r>
      <w:r w:rsidR="00DD45AA" w:rsidRPr="00DD45AA">
        <w:rPr>
          <w:rFonts w:ascii="Arial" w:eastAsia="Times New Roman" w:hAnsi="Arial" w:cs="Arial"/>
          <w:kern w:val="1"/>
          <w:lang w:eastAsia="ar-SA"/>
        </w:rPr>
        <w:t>nie wymagająca dodatkowego zabezpieczenia, konserwowana przy pomocy metody polerowania na sucho.</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Rynny i rury spustowe mają być wykonane z blachy ocynkowanej;</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Parapety zewnętrzne mają być wykonane z blachy ocynkowa</w:t>
      </w:r>
      <w:bookmarkStart w:id="0" w:name="_GoBack"/>
      <w:bookmarkEnd w:id="0"/>
      <w:r w:rsidRPr="00DD45AA">
        <w:rPr>
          <w:rFonts w:ascii="Arial" w:eastAsia="Times New Roman" w:hAnsi="Arial" w:cs="Arial"/>
          <w:kern w:val="1"/>
          <w:lang w:eastAsia="ar-SA"/>
        </w:rPr>
        <w:t>nej w kolorze szarym;</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Wymiary herbu na elewacji: szer. 170 wysokość 210 cm;</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Wykończenia schodów obłożonych wykładziną PCV to noski schodowe z PCV;</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Obudowy słupów w Sali audytoryjnej – płyty betonowe to beton architektoniczny łączony na kołki oraz klej do konstrukcji nośnej;</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Istniejące przyłącze gazu jest zakończone szafką red.-pom.. W szafce znajduje się reduktor gazu  jednak  w ostatecznej cenie oferty należy uwzględnić wymianę reduktora gazu. W szafce nie ma gazomierza;</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 xml:space="preserve">Zakres zadania obejmuje demontaże </w:t>
      </w:r>
      <w:proofErr w:type="spellStart"/>
      <w:r w:rsidRPr="00DD45AA">
        <w:rPr>
          <w:rFonts w:ascii="Arial" w:eastAsia="Times New Roman" w:hAnsi="Arial" w:cs="Arial"/>
          <w:kern w:val="1"/>
          <w:lang w:eastAsia="ar-SA"/>
        </w:rPr>
        <w:t>istn</w:t>
      </w:r>
      <w:proofErr w:type="spellEnd"/>
      <w:r w:rsidRPr="00DD45AA">
        <w:rPr>
          <w:rFonts w:ascii="Arial" w:eastAsia="Times New Roman" w:hAnsi="Arial" w:cs="Arial"/>
          <w:kern w:val="1"/>
          <w:lang w:eastAsia="ar-SA"/>
        </w:rPr>
        <w:t>. urządzeń oraz instalacji w kotłowni węgłowej i transport materiałów z rozbiórki w miejsce wskazane przez Zamawiającego na odległość ok. 2 km</w:t>
      </w:r>
    </w:p>
    <w:p w:rsidR="00DD45AA" w:rsidRPr="00DD45AA" w:rsidRDefault="00DD45AA" w:rsidP="00DD45AA">
      <w:pPr>
        <w:spacing w:after="0" w:line="240" w:lineRule="auto"/>
        <w:ind w:left="502"/>
        <w:jc w:val="both"/>
        <w:rPr>
          <w:rFonts w:ascii="Arial" w:eastAsia="Times New Roman" w:hAnsi="Arial" w:cs="Arial"/>
          <w:kern w:val="1"/>
          <w:lang w:eastAsia="ar-SA"/>
        </w:rPr>
      </w:pPr>
      <w:r w:rsidRPr="00DD45AA">
        <w:rPr>
          <w:rFonts w:ascii="Arial" w:eastAsia="Times New Roman" w:hAnsi="Arial" w:cs="Arial"/>
          <w:kern w:val="1"/>
          <w:lang w:eastAsia="ar-SA"/>
        </w:rPr>
        <w:t>Zaleca się, aby Wykonawca przed upływem terminu na złożenie ofert dokonał wizji lokalnej;</w:t>
      </w:r>
    </w:p>
    <w:p w:rsidR="00DD45AA" w:rsidRPr="00DD45AA" w:rsidRDefault="00DD45AA" w:rsidP="00DD45AA">
      <w:pPr>
        <w:numPr>
          <w:ilvl w:val="1"/>
          <w:numId w:val="1"/>
        </w:numPr>
        <w:tabs>
          <w:tab w:val="left" w:pos="709"/>
        </w:tabs>
        <w:suppressAutoHyphens/>
        <w:spacing w:after="0" w:line="240" w:lineRule="auto"/>
        <w:rPr>
          <w:rFonts w:ascii="Arial" w:eastAsia="Times New Roman" w:hAnsi="Arial" w:cs="Arial"/>
          <w:kern w:val="1"/>
          <w:lang w:eastAsia="ar-SA"/>
        </w:rPr>
      </w:pPr>
      <w:r w:rsidRPr="00DD45AA">
        <w:rPr>
          <w:rFonts w:ascii="Arial" w:eastAsia="Times New Roman" w:hAnsi="Arial" w:cs="Arial"/>
          <w:kern w:val="1"/>
          <w:lang w:eastAsia="ar-SA"/>
        </w:rPr>
        <w:t>Należy zastosować połączenie konstrukcji wsporczej z dachem zgodnie z zaleceniami wybranego producenta instalacji solarnej;</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Wymogiem Zamawiającego jest certyfikacja sieci i uzyskanie gwarancji producenta na minimum 25 lat. Niezbędne jest zapewnienie odpowiedniej jakości okablowania oraz ustalenia, czy spełnia ono określone normy. Sieć LAN powinna być zgodna ze standardem Gigabit Ethernet. Kluczowym elementem jest utrzymanie ciągłości i niezawodności sieci komputerowej;</w:t>
      </w:r>
    </w:p>
    <w:p w:rsidR="00DD45AA" w:rsidRPr="00DD45AA" w:rsidRDefault="00DD45AA" w:rsidP="00DD45AA">
      <w:pPr>
        <w:numPr>
          <w:ilvl w:val="1"/>
          <w:numId w:val="1"/>
        </w:numPr>
        <w:tabs>
          <w:tab w:val="left" w:pos="709"/>
        </w:tabs>
        <w:suppressAutoHyphens/>
        <w:spacing w:after="0" w:line="240" w:lineRule="auto"/>
        <w:rPr>
          <w:rFonts w:ascii="Arial" w:eastAsia="Times New Roman" w:hAnsi="Arial" w:cs="Arial"/>
          <w:kern w:val="1"/>
          <w:lang w:eastAsia="ar-SA"/>
        </w:rPr>
      </w:pPr>
      <w:r w:rsidRPr="00DD45AA">
        <w:rPr>
          <w:rFonts w:ascii="Arial" w:eastAsia="Times New Roman" w:hAnsi="Arial" w:cs="Arial"/>
          <w:kern w:val="1"/>
          <w:lang w:eastAsia="ar-SA"/>
        </w:rPr>
        <w:t>Zamawiający przewiduje przeniesienie urządzeń aktywnych z obecnej serwerowni;</w:t>
      </w:r>
    </w:p>
    <w:p w:rsidR="00DD45AA" w:rsidRPr="00DD45AA" w:rsidRDefault="00DD45AA" w:rsidP="00DD45AA">
      <w:pPr>
        <w:numPr>
          <w:ilvl w:val="1"/>
          <w:numId w:val="1"/>
        </w:numPr>
        <w:tabs>
          <w:tab w:val="left" w:pos="709"/>
        </w:tabs>
        <w:suppressAutoHyphens/>
        <w:spacing w:after="0" w:line="240" w:lineRule="auto"/>
        <w:jc w:val="both"/>
        <w:rPr>
          <w:rFonts w:ascii="Arial" w:eastAsia="Times New Roman" w:hAnsi="Arial" w:cs="Arial"/>
          <w:kern w:val="1"/>
          <w:lang w:eastAsia="ar-SA"/>
        </w:rPr>
      </w:pPr>
      <w:r w:rsidRPr="00DD45AA">
        <w:rPr>
          <w:rFonts w:ascii="Arial" w:eastAsia="Times New Roman" w:hAnsi="Arial" w:cs="Arial"/>
          <w:kern w:val="1"/>
          <w:lang w:eastAsia="ar-SA"/>
        </w:rPr>
        <w:t>Zamawiający przewiduje przeniesienie obecnie posiadanej centrali telefonicznej;</w:t>
      </w:r>
    </w:p>
    <w:p w:rsidR="00DD45AA" w:rsidRPr="00DD45AA" w:rsidRDefault="00DD45AA" w:rsidP="00DD45AA">
      <w:pPr>
        <w:numPr>
          <w:ilvl w:val="1"/>
          <w:numId w:val="1"/>
        </w:numPr>
        <w:tabs>
          <w:tab w:val="left" w:pos="709"/>
        </w:tabs>
        <w:suppressAutoHyphens/>
        <w:spacing w:after="0" w:line="240" w:lineRule="auto"/>
        <w:rPr>
          <w:rFonts w:ascii="Arial" w:eastAsia="Times New Roman" w:hAnsi="Arial" w:cs="Arial"/>
          <w:kern w:val="1"/>
          <w:lang w:eastAsia="ar-SA"/>
        </w:rPr>
      </w:pPr>
      <w:r w:rsidRPr="00DD45AA">
        <w:rPr>
          <w:rFonts w:ascii="Arial" w:eastAsia="Times New Roman" w:hAnsi="Arial" w:cs="Arial"/>
          <w:kern w:val="1"/>
          <w:lang w:eastAsia="ar-SA"/>
        </w:rPr>
        <w:t>Zamawiający przewiduje montaż instalacji ON-</w:t>
      </w:r>
      <w:proofErr w:type="spellStart"/>
      <w:r w:rsidRPr="00DD45AA">
        <w:rPr>
          <w:rFonts w:ascii="Arial" w:eastAsia="Times New Roman" w:hAnsi="Arial" w:cs="Arial"/>
          <w:kern w:val="1"/>
          <w:lang w:eastAsia="ar-SA"/>
        </w:rPr>
        <w:t>Grid</w:t>
      </w:r>
      <w:proofErr w:type="spellEnd"/>
      <w:r w:rsidRPr="00DD45AA">
        <w:rPr>
          <w:rFonts w:ascii="Arial" w:eastAsia="Times New Roman" w:hAnsi="Arial" w:cs="Arial"/>
          <w:kern w:val="1"/>
          <w:lang w:eastAsia="ar-SA"/>
        </w:rPr>
        <w:t xml:space="preserve"> wraz z możliwością sprzedaży części energii do lokalnego operatora. Na chwilę obecną Zamawiający nie posiada stosownych warunków przyłączenia.</w:t>
      </w:r>
    </w:p>
    <w:p w:rsidR="00492F00" w:rsidRPr="00DD45AA" w:rsidRDefault="00492F00"/>
    <w:sectPr w:rsidR="00492F00" w:rsidRPr="00DD4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97AB8CE"/>
    <w:lvl w:ilvl="0">
      <w:start w:val="1"/>
      <w:numFmt w:val="upperRoman"/>
      <w:lvlText w:val="%1."/>
      <w:lvlJc w:val="left"/>
      <w:pPr>
        <w:tabs>
          <w:tab w:val="num" w:pos="247"/>
        </w:tabs>
        <w:ind w:left="360" w:hanging="360"/>
      </w:pPr>
      <w:rPr>
        <w:rFonts w:ascii="Arial" w:hAnsi="Arial" w:cs="Times New Roman"/>
        <w:sz w:val="24"/>
        <w:szCs w:val="24"/>
      </w:rPr>
    </w:lvl>
    <w:lvl w:ilvl="1">
      <w:start w:val="1"/>
      <w:numFmt w:val="decimal"/>
      <w:lvlText w:val="%2."/>
      <w:lvlJc w:val="left"/>
      <w:pPr>
        <w:tabs>
          <w:tab w:val="num" w:pos="502"/>
        </w:tabs>
        <w:ind w:left="502" w:hanging="360"/>
      </w:pPr>
      <w:rPr>
        <w:sz w:val="24"/>
        <w:szCs w:val="24"/>
      </w:rPr>
    </w:lvl>
    <w:lvl w:ilvl="2">
      <w:start w:val="1"/>
      <w:numFmt w:val="decimal"/>
      <w:lvlText w:val="%3."/>
      <w:lvlJc w:val="left"/>
      <w:pPr>
        <w:tabs>
          <w:tab w:val="num" w:pos="0"/>
        </w:tabs>
        <w:ind w:left="1440" w:hanging="360"/>
      </w:pPr>
      <w:rPr>
        <w:rFonts w:ascii="Arial" w:hAnsi="Arial" w:cs="Times New Roman"/>
        <w:sz w:val="24"/>
        <w:szCs w:val="24"/>
      </w:rPr>
    </w:lvl>
    <w:lvl w:ilvl="3">
      <w:start w:val="1"/>
      <w:numFmt w:val="decimal"/>
      <w:lvlText w:val="%4."/>
      <w:lvlJc w:val="left"/>
      <w:pPr>
        <w:tabs>
          <w:tab w:val="num" w:pos="0"/>
        </w:tabs>
        <w:ind w:left="1800" w:hanging="360"/>
      </w:pPr>
      <w:rPr>
        <w:rFonts w:ascii="Arial" w:hAnsi="Arial" w:cs="Times New Roman"/>
        <w:sz w:val="24"/>
        <w:szCs w:val="24"/>
      </w:rPr>
    </w:lvl>
    <w:lvl w:ilvl="4">
      <w:start w:val="1"/>
      <w:numFmt w:val="decimal"/>
      <w:lvlText w:val="%5."/>
      <w:lvlJc w:val="left"/>
      <w:pPr>
        <w:tabs>
          <w:tab w:val="num" w:pos="0"/>
        </w:tabs>
        <w:ind w:left="2160" w:hanging="360"/>
      </w:pPr>
      <w:rPr>
        <w:rFonts w:ascii="Arial" w:hAnsi="Arial" w:cs="Times New Roman"/>
        <w:sz w:val="24"/>
        <w:szCs w:val="24"/>
      </w:rPr>
    </w:lvl>
    <w:lvl w:ilvl="5">
      <w:start w:val="1"/>
      <w:numFmt w:val="decimal"/>
      <w:lvlText w:val="%6."/>
      <w:lvlJc w:val="left"/>
      <w:pPr>
        <w:tabs>
          <w:tab w:val="num" w:pos="0"/>
        </w:tabs>
        <w:ind w:left="2520" w:hanging="360"/>
      </w:pPr>
      <w:rPr>
        <w:rFonts w:ascii="Arial" w:hAnsi="Arial" w:cs="Times New Roman"/>
        <w:sz w:val="24"/>
        <w:szCs w:val="24"/>
      </w:rPr>
    </w:lvl>
    <w:lvl w:ilvl="6">
      <w:start w:val="1"/>
      <w:numFmt w:val="decimal"/>
      <w:lvlText w:val="%7."/>
      <w:lvlJc w:val="left"/>
      <w:pPr>
        <w:tabs>
          <w:tab w:val="num" w:pos="0"/>
        </w:tabs>
        <w:ind w:left="2880" w:hanging="360"/>
      </w:pPr>
      <w:rPr>
        <w:rFonts w:ascii="Arial" w:hAnsi="Arial" w:cs="Times New Roman"/>
        <w:sz w:val="24"/>
        <w:szCs w:val="24"/>
      </w:rPr>
    </w:lvl>
    <w:lvl w:ilvl="7">
      <w:start w:val="1"/>
      <w:numFmt w:val="decimal"/>
      <w:lvlText w:val="%8."/>
      <w:lvlJc w:val="left"/>
      <w:pPr>
        <w:tabs>
          <w:tab w:val="num" w:pos="0"/>
        </w:tabs>
        <w:ind w:left="3240" w:hanging="360"/>
      </w:pPr>
      <w:rPr>
        <w:rFonts w:ascii="Arial" w:hAnsi="Arial" w:cs="Times New Roman"/>
        <w:sz w:val="24"/>
        <w:szCs w:val="24"/>
      </w:rPr>
    </w:lvl>
    <w:lvl w:ilvl="8">
      <w:start w:val="1"/>
      <w:numFmt w:val="decimal"/>
      <w:lvlText w:val="%9."/>
      <w:lvlJc w:val="left"/>
      <w:pPr>
        <w:tabs>
          <w:tab w:val="num" w:pos="0"/>
        </w:tabs>
        <w:ind w:left="3600" w:hanging="360"/>
      </w:pPr>
      <w:rPr>
        <w:rFonts w:ascii="Arial" w:hAnsi="Arial"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C1"/>
    <w:rsid w:val="00194F01"/>
    <w:rsid w:val="00492F00"/>
    <w:rsid w:val="00A346C1"/>
    <w:rsid w:val="00DD4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DD45AA"/>
    <w:rPr>
      <w:sz w:val="16"/>
      <w:szCs w:val="16"/>
    </w:rPr>
  </w:style>
  <w:style w:type="paragraph" w:styleId="Tekstkomentarza">
    <w:name w:val="annotation text"/>
    <w:basedOn w:val="Normalny"/>
    <w:link w:val="TekstkomentarzaZnak"/>
    <w:rsid w:val="00DD45AA"/>
    <w:pPr>
      <w:tabs>
        <w:tab w:val="left" w:pos="709"/>
      </w:tabs>
      <w:suppressAutoHyphens/>
      <w:spacing w:after="0" w:line="240" w:lineRule="auto"/>
    </w:pPr>
    <w:rPr>
      <w:rFonts w:ascii="Arial" w:eastAsia="Times New Roman" w:hAnsi="Arial" w:cs="Times New Roman"/>
      <w:kern w:val="1"/>
      <w:sz w:val="20"/>
      <w:szCs w:val="20"/>
      <w:lang w:val="x-none" w:eastAsia="ar-SA"/>
    </w:rPr>
  </w:style>
  <w:style w:type="character" w:customStyle="1" w:styleId="TekstkomentarzaZnak">
    <w:name w:val="Tekst komentarza Znak"/>
    <w:basedOn w:val="Domylnaczcionkaakapitu"/>
    <w:link w:val="Tekstkomentarza"/>
    <w:rsid w:val="00DD45AA"/>
    <w:rPr>
      <w:rFonts w:ascii="Arial" w:eastAsia="Times New Roman" w:hAnsi="Arial" w:cs="Times New Roman"/>
      <w:kern w:val="1"/>
      <w:sz w:val="20"/>
      <w:szCs w:val="20"/>
      <w:lang w:val="x-none" w:eastAsia="ar-SA"/>
    </w:rPr>
  </w:style>
  <w:style w:type="paragraph" w:styleId="Tekstdymka">
    <w:name w:val="Balloon Text"/>
    <w:basedOn w:val="Normalny"/>
    <w:link w:val="TekstdymkaZnak"/>
    <w:uiPriority w:val="99"/>
    <w:semiHidden/>
    <w:unhideWhenUsed/>
    <w:rsid w:val="00DD45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DD45AA"/>
    <w:rPr>
      <w:sz w:val="16"/>
      <w:szCs w:val="16"/>
    </w:rPr>
  </w:style>
  <w:style w:type="paragraph" w:styleId="Tekstkomentarza">
    <w:name w:val="annotation text"/>
    <w:basedOn w:val="Normalny"/>
    <w:link w:val="TekstkomentarzaZnak"/>
    <w:rsid w:val="00DD45AA"/>
    <w:pPr>
      <w:tabs>
        <w:tab w:val="left" w:pos="709"/>
      </w:tabs>
      <w:suppressAutoHyphens/>
      <w:spacing w:after="0" w:line="240" w:lineRule="auto"/>
    </w:pPr>
    <w:rPr>
      <w:rFonts w:ascii="Arial" w:eastAsia="Times New Roman" w:hAnsi="Arial" w:cs="Times New Roman"/>
      <w:kern w:val="1"/>
      <w:sz w:val="20"/>
      <w:szCs w:val="20"/>
      <w:lang w:val="x-none" w:eastAsia="ar-SA"/>
    </w:rPr>
  </w:style>
  <w:style w:type="character" w:customStyle="1" w:styleId="TekstkomentarzaZnak">
    <w:name w:val="Tekst komentarza Znak"/>
    <w:basedOn w:val="Domylnaczcionkaakapitu"/>
    <w:link w:val="Tekstkomentarza"/>
    <w:rsid w:val="00DD45AA"/>
    <w:rPr>
      <w:rFonts w:ascii="Arial" w:eastAsia="Times New Roman" w:hAnsi="Arial" w:cs="Times New Roman"/>
      <w:kern w:val="1"/>
      <w:sz w:val="20"/>
      <w:szCs w:val="20"/>
      <w:lang w:val="x-none" w:eastAsia="ar-SA"/>
    </w:rPr>
  </w:style>
  <w:style w:type="paragraph" w:styleId="Tekstdymka">
    <w:name w:val="Balloon Text"/>
    <w:basedOn w:val="Normalny"/>
    <w:link w:val="TekstdymkaZnak"/>
    <w:uiPriority w:val="99"/>
    <w:semiHidden/>
    <w:unhideWhenUsed/>
    <w:rsid w:val="00DD45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1825</Words>
  <Characters>10951</Characters>
  <Application>Microsoft Office Word</Application>
  <DocSecurity>0</DocSecurity>
  <Lines>91</Lines>
  <Paragraphs>25</Paragraphs>
  <ScaleCrop>false</ScaleCrop>
  <Company>ATC</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Stefański</dc:creator>
  <cp:keywords/>
  <dc:description/>
  <cp:lastModifiedBy>Przemysław Stefański</cp:lastModifiedBy>
  <cp:revision>3</cp:revision>
  <dcterms:created xsi:type="dcterms:W3CDTF">2016-04-05T12:53:00Z</dcterms:created>
  <dcterms:modified xsi:type="dcterms:W3CDTF">2016-04-06T06:55:00Z</dcterms:modified>
</cp:coreProperties>
</file>