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90BE" w14:textId="357B3133" w:rsidR="00B67181" w:rsidRDefault="00B67181" w:rsidP="00D3755B">
      <w:pPr>
        <w:spacing w:line="240" w:lineRule="auto"/>
        <w:jc w:val="center"/>
        <w:rPr>
          <w:rFonts w:ascii="Bookman Old Style" w:hAnsi="Bookman Old Style"/>
          <w:b/>
          <w:szCs w:val="24"/>
          <w:lang w:val="pl-PL"/>
        </w:rPr>
      </w:pPr>
      <w:r w:rsidRPr="00233667">
        <w:rPr>
          <w:rFonts w:ascii="Bookman Old Style" w:hAnsi="Bookman Old Style"/>
          <w:b/>
          <w:szCs w:val="24"/>
          <w:lang w:val="pl-PL"/>
        </w:rPr>
        <w:t>UZASADNIENIE</w:t>
      </w:r>
    </w:p>
    <w:p w14:paraId="485783EB" w14:textId="73CBEF2E" w:rsidR="00B67181" w:rsidRPr="00CB1C49" w:rsidRDefault="000801AE" w:rsidP="00D3755B">
      <w:pPr>
        <w:spacing w:line="240" w:lineRule="auto"/>
        <w:jc w:val="center"/>
        <w:rPr>
          <w:rFonts w:ascii="Bookman Old Style" w:hAnsi="Bookman Old Style"/>
          <w:b/>
          <w:i/>
          <w:iCs/>
          <w:szCs w:val="24"/>
          <w:lang w:val="pl-PL"/>
        </w:rPr>
      </w:pPr>
      <w:r w:rsidRPr="00233667">
        <w:rPr>
          <w:rFonts w:ascii="Bookman Old Style" w:hAnsi="Bookman Old Style"/>
          <w:bCs/>
          <w:szCs w:val="24"/>
          <w:lang w:val="pl-PL"/>
        </w:rPr>
        <w:t>d</w:t>
      </w:r>
      <w:r w:rsidR="00B67181" w:rsidRPr="00233667">
        <w:rPr>
          <w:rFonts w:ascii="Bookman Old Style" w:hAnsi="Bookman Old Style"/>
          <w:bCs/>
          <w:szCs w:val="24"/>
          <w:lang w:val="pl-PL"/>
        </w:rPr>
        <w:t>o informacji o odstąpieniu od przeprowadzenia strategicznej oceny na środowisko dla dokumentu</w:t>
      </w:r>
      <w:r w:rsidR="00133BC7" w:rsidRPr="00233667">
        <w:rPr>
          <w:rFonts w:ascii="Bookman Old Style" w:hAnsi="Bookman Old Style"/>
          <w:bCs/>
          <w:szCs w:val="24"/>
          <w:lang w:val="pl-PL"/>
        </w:rPr>
        <w:t xml:space="preserve"> tj.  </w:t>
      </w:r>
      <w:r w:rsidR="00133BC7" w:rsidRPr="00CB1C49">
        <w:rPr>
          <w:rFonts w:ascii="Bookman Old Style" w:hAnsi="Bookman Old Style"/>
          <w:bCs/>
          <w:i/>
          <w:iCs/>
          <w:szCs w:val="24"/>
          <w:lang w:val="pl-PL"/>
        </w:rPr>
        <w:t>„</w:t>
      </w:r>
      <w:r w:rsidR="00133BC7" w:rsidRPr="00CB1C49">
        <w:rPr>
          <w:rFonts w:ascii="Bookman Old Style" w:hAnsi="Bookman Old Style"/>
          <w:bCs/>
          <w:i/>
          <w:iCs/>
          <w:color w:val="000000" w:themeColor="text1"/>
          <w:szCs w:val="24"/>
          <w:lang w:val="pl-PL"/>
        </w:rPr>
        <w:t>Program Ochrony Środowiska dla Gminy Lubrza na lata 2021 – 2024 z perspektywą do 2028 roku”</w:t>
      </w:r>
    </w:p>
    <w:p w14:paraId="606C9F5E" w14:textId="77777777" w:rsidR="00B67181" w:rsidRPr="00CB1C49" w:rsidRDefault="00B67181" w:rsidP="00D3755B">
      <w:pPr>
        <w:spacing w:line="240" w:lineRule="auto"/>
        <w:jc w:val="both"/>
        <w:rPr>
          <w:rFonts w:ascii="Bookman Old Style" w:hAnsi="Bookman Old Style"/>
          <w:i/>
          <w:iCs/>
          <w:szCs w:val="24"/>
          <w:lang w:val="pl-PL"/>
        </w:rPr>
      </w:pPr>
    </w:p>
    <w:p w14:paraId="422AC08D" w14:textId="77777777" w:rsidR="00B67181" w:rsidRPr="00233667" w:rsidRDefault="00B67181" w:rsidP="00D3755B">
      <w:pPr>
        <w:spacing w:line="240" w:lineRule="auto"/>
        <w:jc w:val="both"/>
        <w:rPr>
          <w:rFonts w:ascii="Bookman Old Style" w:hAnsi="Bookman Old Style"/>
          <w:szCs w:val="24"/>
          <w:lang w:val="pl-PL"/>
        </w:rPr>
      </w:pPr>
      <w:r w:rsidRPr="00233667">
        <w:rPr>
          <w:rFonts w:ascii="Bookman Old Style" w:hAnsi="Bookman Old Style"/>
          <w:szCs w:val="24"/>
          <w:lang w:val="pl-PL"/>
        </w:rPr>
        <w:t>Zgodnie z art. 48 ust. 1 i 2 w/w. ustawy, o udostępnianiu informacji o środowisku i jego ochronie, udziale społeczeństwa w ochronie środowiska oraz o ocenach oddziaływania na środowisko, organ opracowujący projekt dokumentu, może po uzgodnieniu z właściwymi organami, odstąpić od przeprowadzenia strategicznej oceny oddziaływania na środowisko, jeżeli uzna, że realizacja postanowień danego dokumentu nie spowoduje znaczącego oddziaływania na środowisko, a projekt dokumentu dotyczy obszaru w granicach jednej gminy.</w:t>
      </w:r>
    </w:p>
    <w:p w14:paraId="104263F5" w14:textId="77777777" w:rsidR="00133BC7" w:rsidRPr="00233667" w:rsidRDefault="00133BC7" w:rsidP="00D3755B">
      <w:pPr>
        <w:spacing w:line="240" w:lineRule="auto"/>
        <w:jc w:val="both"/>
        <w:rPr>
          <w:rFonts w:ascii="Bookman Old Style" w:hAnsi="Bookman Old Style"/>
          <w:szCs w:val="24"/>
          <w:lang w:val="pl-PL"/>
        </w:rPr>
      </w:pPr>
    </w:p>
    <w:p w14:paraId="1E1ECBAA" w14:textId="4C349A0D" w:rsidR="00133BC7" w:rsidRPr="00233667" w:rsidRDefault="00133BC7" w:rsidP="00D3755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Bookman Old Style" w:hAnsi="Bookman Old Style"/>
          <w:color w:val="000000" w:themeColor="text1"/>
          <w:szCs w:val="24"/>
          <w:lang w:val="pl-PL"/>
        </w:rPr>
      </w:pP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Regionalny Dyrektor Ochrony Środowiska w Gorzowie Wielkopolskim pismem </w:t>
      </w:r>
      <w:r w:rsidR="00CB1C49" w:rsidRPr="00233667">
        <w:rPr>
          <w:rFonts w:ascii="Bookman Old Style" w:hAnsi="Bookman Old Style"/>
          <w:color w:val="000000" w:themeColor="text1"/>
          <w:szCs w:val="24"/>
          <w:lang w:val="pl-PL"/>
        </w:rPr>
        <w:t>znak: WZŚ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-411.</w:t>
      </w:r>
      <w:r w:rsidR="005536C9" w:rsidRPr="00233667">
        <w:rPr>
          <w:rFonts w:ascii="Bookman Old Style" w:hAnsi="Bookman Old Style"/>
          <w:color w:val="000000" w:themeColor="text1"/>
          <w:szCs w:val="24"/>
          <w:lang w:val="pl-PL"/>
        </w:rPr>
        <w:t>164.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20</w:t>
      </w:r>
      <w:r w:rsidR="005536C9" w:rsidRPr="00233667">
        <w:rPr>
          <w:rFonts w:ascii="Bookman Old Style" w:hAnsi="Bookman Old Style"/>
          <w:color w:val="000000" w:themeColor="text1"/>
          <w:szCs w:val="24"/>
          <w:lang w:val="pl-PL"/>
        </w:rPr>
        <w:t>20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.DT z dnia 2</w:t>
      </w:r>
      <w:r w:rsidR="005536C9" w:rsidRPr="00233667">
        <w:rPr>
          <w:rFonts w:ascii="Bookman Old Style" w:hAnsi="Bookman Old Style"/>
          <w:color w:val="000000" w:themeColor="text1"/>
          <w:szCs w:val="24"/>
          <w:lang w:val="pl-PL"/>
        </w:rPr>
        <w:t>7</w:t>
      </w:r>
      <w:r w:rsidR="000857F9"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 listopada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 2020 r. uzgodnił odstąpienie od przeprowadzenia strategicznej oceny oddziaływania na środowisko dla dokumentu</w:t>
      </w:r>
      <w:r w:rsidRPr="00233667">
        <w:rPr>
          <w:rFonts w:ascii="Bookman Old Style" w:hAnsi="Bookman Old Style"/>
          <w:b/>
          <w:color w:val="000000" w:themeColor="text1"/>
          <w:szCs w:val="24"/>
          <w:lang w:val="pl-PL"/>
        </w:rPr>
        <w:t xml:space="preserve"> </w:t>
      </w:r>
      <w:r w:rsidRPr="00233667">
        <w:rPr>
          <w:rFonts w:ascii="Bookman Old Style" w:hAnsi="Bookman Old Style"/>
          <w:bCs/>
          <w:color w:val="000000" w:themeColor="text1"/>
          <w:szCs w:val="24"/>
          <w:lang w:val="pl-PL"/>
        </w:rPr>
        <w:t>„Program Ochrony Środowiska dla Gminy Lubrza na lata 2021 – 2024 z perspektywą do 2028 roku”.</w:t>
      </w:r>
    </w:p>
    <w:p w14:paraId="1E77FBD2" w14:textId="31E09676" w:rsidR="00133BC7" w:rsidRPr="00233667" w:rsidRDefault="00133BC7" w:rsidP="00D3755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Bookman Old Style" w:hAnsi="Bookman Old Style"/>
          <w:color w:val="000000" w:themeColor="text1"/>
          <w:szCs w:val="24"/>
          <w:lang w:val="pl-PL"/>
        </w:rPr>
      </w:pP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Wojewódzki Inspektor Sanitarny w Gorzowie Wielkopolskim pismem znak: NZ.9022.</w:t>
      </w:r>
      <w:r w:rsidR="00042374" w:rsidRPr="00233667">
        <w:rPr>
          <w:rFonts w:ascii="Bookman Old Style" w:hAnsi="Bookman Old Style"/>
          <w:color w:val="000000" w:themeColor="text1"/>
          <w:szCs w:val="24"/>
          <w:lang w:val="pl-PL"/>
        </w:rPr>
        <w:t>504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.20</w:t>
      </w:r>
      <w:r w:rsidR="00042374" w:rsidRPr="00233667">
        <w:rPr>
          <w:rFonts w:ascii="Bookman Old Style" w:hAnsi="Bookman Old Style"/>
          <w:color w:val="000000" w:themeColor="text1"/>
          <w:szCs w:val="24"/>
          <w:lang w:val="pl-PL"/>
        </w:rPr>
        <w:t>20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>.</w:t>
      </w:r>
      <w:r w:rsidR="00042374" w:rsidRPr="00233667">
        <w:rPr>
          <w:rFonts w:ascii="Bookman Old Style" w:hAnsi="Bookman Old Style"/>
          <w:color w:val="000000" w:themeColor="text1"/>
          <w:szCs w:val="24"/>
          <w:lang w:val="pl-PL"/>
        </w:rPr>
        <w:t>MZ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 z dnia 1</w:t>
      </w:r>
      <w:r w:rsidR="00042374" w:rsidRPr="00233667">
        <w:rPr>
          <w:rFonts w:ascii="Bookman Old Style" w:hAnsi="Bookman Old Style"/>
          <w:color w:val="000000" w:themeColor="text1"/>
          <w:szCs w:val="24"/>
          <w:lang w:val="pl-PL"/>
        </w:rPr>
        <w:t>1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 grudnia 2020 r. wyraził zgodę na odstąpienie od przeprowadzenia strategicznej oceny </w:t>
      </w:r>
      <w:r w:rsidR="00CB1C49" w:rsidRPr="00233667">
        <w:rPr>
          <w:rFonts w:ascii="Bookman Old Style" w:hAnsi="Bookman Old Style"/>
          <w:color w:val="000000" w:themeColor="text1"/>
          <w:szCs w:val="24"/>
          <w:lang w:val="pl-PL"/>
        </w:rPr>
        <w:t>na środowisko</w:t>
      </w:r>
      <w:r w:rsidRPr="00233667">
        <w:rPr>
          <w:rFonts w:ascii="Bookman Old Style" w:hAnsi="Bookman Old Style"/>
          <w:color w:val="000000" w:themeColor="text1"/>
          <w:szCs w:val="24"/>
          <w:lang w:val="pl-PL"/>
        </w:rPr>
        <w:t xml:space="preserve"> dla dokumentu „Program Ochrony Środowiska dla Gminy Lubrza na lata 2021 – 2024 z perspektywą do 2028 roku”.</w:t>
      </w:r>
    </w:p>
    <w:p w14:paraId="4DB0B23B" w14:textId="091A8F73" w:rsidR="008550C2" w:rsidRDefault="008550C2" w:rsidP="00D3755B">
      <w:pPr>
        <w:pStyle w:val="Style5"/>
        <w:widowControl/>
        <w:spacing w:line="240" w:lineRule="auto"/>
        <w:ind w:right="7" w:firstLine="857"/>
        <w:rPr>
          <w:rStyle w:val="FontStyle15"/>
          <w:rFonts w:ascii="Bookman Old Style" w:hAnsi="Bookman Old Style"/>
          <w:sz w:val="24"/>
          <w:szCs w:val="24"/>
        </w:rPr>
      </w:pPr>
    </w:p>
    <w:p w14:paraId="7CACFE4C" w14:textId="62817503" w:rsidR="008550C2" w:rsidRPr="00233667" w:rsidRDefault="00CB1C49" w:rsidP="00D3755B">
      <w:pPr>
        <w:spacing w:line="240" w:lineRule="auto"/>
        <w:jc w:val="both"/>
        <w:rPr>
          <w:rFonts w:ascii="Bookman Old Style" w:hAnsi="Bookman Old Style" w:cs="Arial"/>
          <w:szCs w:val="24"/>
          <w:lang w:val="pl-PL" w:eastAsia="pl-PL"/>
        </w:rPr>
      </w:pPr>
      <w:r>
        <w:rPr>
          <w:rFonts w:ascii="Bookman Old Style" w:hAnsi="Bookman Old Style"/>
          <w:bCs/>
          <w:i/>
          <w:iCs/>
          <w:color w:val="000000" w:themeColor="text1"/>
          <w:szCs w:val="24"/>
          <w:lang w:val="pl-PL"/>
        </w:rPr>
        <w:t xml:space="preserve">Celem sporządzenia </w:t>
      </w:r>
      <w:r w:rsidRPr="00CB1C49">
        <w:rPr>
          <w:rFonts w:ascii="Bookman Old Style" w:hAnsi="Bookman Old Style"/>
          <w:bCs/>
          <w:i/>
          <w:iCs/>
          <w:color w:val="000000" w:themeColor="text1"/>
          <w:szCs w:val="24"/>
          <w:lang w:val="pl-PL"/>
        </w:rPr>
        <w:t>Program Ochrony Środowiska dla Gminy Lubrza na lata 2021 – 2024 z perspektywą do 2028 roku</w:t>
      </w:r>
      <w:r w:rsidRPr="00CB1C49">
        <w:rPr>
          <w:rFonts w:ascii="Bookman Old Style" w:eastAsia="Calibri" w:hAnsi="Bookman Old Style" w:cs="Times New Roman"/>
          <w:i/>
          <w:iCs/>
          <w:color w:val="000000"/>
          <w:szCs w:val="24"/>
          <w:lang w:val="pl-PL"/>
        </w:rPr>
        <w:t xml:space="preserve"> </w:t>
      </w:r>
      <w:r w:rsidRPr="00CB1C49">
        <w:rPr>
          <w:rFonts w:ascii="Bookman Old Style" w:eastAsia="Calibri" w:hAnsi="Bookman Old Style" w:cs="Times New Roman"/>
          <w:color w:val="000000"/>
          <w:szCs w:val="24"/>
          <w:lang w:val="pl-PL"/>
        </w:rPr>
        <w:t>jest realizacja przez jednostki samorządu terytorialnego polityki ochrony środowiska zgodnie z założeniami najważniejszych dokumentów strategicznych i programowych na szczeblu krajowym, wojewódzkim i powiatowym.</w:t>
      </w:r>
      <w:r w:rsidRPr="00CB1C49">
        <w:rPr>
          <w:rFonts w:ascii="Times New Roman" w:eastAsia="Calibri" w:hAnsi="Times New Roman" w:cs="Times New Roman"/>
          <w:color w:val="000000"/>
          <w:sz w:val="22"/>
          <w:lang w:val="pl-PL"/>
        </w:rPr>
        <w:t xml:space="preserve">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Zasad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ą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przyj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ę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t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ą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w Programie jest zasada zrównowa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ż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onego rozwoju, która umo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ż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liwia zharmonizowany rozwój gospodarczy i społeczny zgodny z ochron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ą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walorów 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ś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rodowiska. Celem przygotowania Programu jest realizacja zało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ż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e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ń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dokumentów strategicznych kraju ze szczególnym uwzgl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ę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dnieniem celów zawartych w strategiach, programach i dokumentach programowych. Przy opracowaniu Programu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uwzgl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ę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dniono równie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ż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 wszystkie, zwi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ą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zane z tematyk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 xml:space="preserve">ą 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>programu, dokumenty strategiczne, polityki oraz przepisy prawne i wytyczne (w zakresie sporz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ą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dzania programów ochrony </w:t>
      </w:r>
      <w:r w:rsidR="008550C2" w:rsidRPr="00233667">
        <w:rPr>
          <w:rFonts w:ascii="Bookman Old Style" w:eastAsia="TimesNewRoman" w:hAnsi="Bookman Old Style" w:cs="Arial"/>
          <w:szCs w:val="24"/>
          <w:lang w:val="pl-PL" w:eastAsia="pl-PL"/>
        </w:rPr>
        <w:t>ś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rodowiska). </w:t>
      </w:r>
      <w:r w:rsidR="008550C2" w:rsidRPr="00233667">
        <w:rPr>
          <w:rFonts w:ascii="Bookman Old Style" w:hAnsi="Bookman Old Style" w:cs="Arial"/>
          <w:bCs/>
          <w:szCs w:val="24"/>
          <w:lang w:val="pl-PL" w:eastAsia="pl-PL"/>
        </w:rPr>
        <w:t>Celem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 </w:t>
      </w:r>
      <w:r w:rsidR="008550C2" w:rsidRPr="00233667">
        <w:rPr>
          <w:rFonts w:ascii="Bookman Old Style" w:hAnsi="Bookman Old Style" w:cs="Arial"/>
          <w:bCs/>
          <w:szCs w:val="24"/>
          <w:lang w:val="pl-PL" w:eastAsia="pl-PL"/>
        </w:rPr>
        <w:t>opracowania Programu jest przede wszystkim weryfikacja długookresowych celów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 </w:t>
      </w:r>
      <w:r w:rsidR="008550C2" w:rsidRPr="00233667">
        <w:rPr>
          <w:rFonts w:ascii="Bookman Old Style" w:hAnsi="Bookman Old Style" w:cs="Arial"/>
          <w:bCs/>
          <w:szCs w:val="24"/>
          <w:lang w:val="pl-PL" w:eastAsia="pl-PL"/>
        </w:rPr>
        <w:t>ekologicznych i kierunków działań oraz opracowanie planu operacyjnego na lata 2021 –</w:t>
      </w:r>
      <w:r w:rsidR="008550C2" w:rsidRPr="00233667">
        <w:rPr>
          <w:rFonts w:ascii="Bookman Old Style" w:hAnsi="Bookman Old Style" w:cs="Arial"/>
          <w:szCs w:val="24"/>
          <w:lang w:val="pl-PL" w:eastAsia="pl-PL"/>
        </w:rPr>
        <w:t xml:space="preserve"> </w:t>
      </w:r>
      <w:r w:rsidR="008550C2" w:rsidRPr="00233667">
        <w:rPr>
          <w:rFonts w:ascii="Bookman Old Style" w:hAnsi="Bookman Old Style" w:cs="Arial"/>
          <w:bCs/>
          <w:szCs w:val="24"/>
          <w:lang w:val="pl-PL" w:eastAsia="pl-PL"/>
        </w:rPr>
        <w:t>2024 z perspektywą do roku 2028.</w:t>
      </w:r>
    </w:p>
    <w:p w14:paraId="5AFDEDDE" w14:textId="5A9B353D" w:rsidR="008550C2" w:rsidRDefault="008550C2" w:rsidP="00D3755B">
      <w:pPr>
        <w:pStyle w:val="Style5"/>
        <w:widowControl/>
        <w:spacing w:line="240" w:lineRule="auto"/>
        <w:ind w:right="7" w:firstLine="857"/>
        <w:rPr>
          <w:rStyle w:val="FontStyle15"/>
          <w:rFonts w:ascii="Bookman Old Style" w:hAnsi="Bookman Old Style"/>
          <w:sz w:val="24"/>
          <w:szCs w:val="24"/>
        </w:rPr>
      </w:pPr>
    </w:p>
    <w:p w14:paraId="05EC551C" w14:textId="43DE996D" w:rsidR="00233667" w:rsidRPr="00233667" w:rsidRDefault="00233667" w:rsidP="00D3755B">
      <w:pPr>
        <w:pStyle w:val="Style5"/>
        <w:widowControl/>
        <w:spacing w:line="240" w:lineRule="auto"/>
        <w:ind w:right="7" w:firstLine="0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Programie zdefiniowano najważniejsze zadania w zakresie ochrony środowiska w Gminie Lubrza:</w:t>
      </w:r>
    </w:p>
    <w:p w14:paraId="5689BB08" w14:textId="77777777" w:rsidR="00233667" w:rsidRPr="00233667" w:rsidRDefault="00233667" w:rsidP="00D3755B">
      <w:pPr>
        <w:pStyle w:val="Style10"/>
        <w:widowControl/>
        <w:numPr>
          <w:ilvl w:val="0"/>
          <w:numId w:val="11"/>
        </w:numPr>
        <w:tabs>
          <w:tab w:val="left" w:pos="281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ochrony klimatu i jakości powietrza:</w:t>
      </w:r>
    </w:p>
    <w:p w14:paraId="2EE1F629" w14:textId="77777777" w:rsidR="00233667" w:rsidRPr="00233667" w:rsidRDefault="00233667" w:rsidP="00D3755B">
      <w:pPr>
        <w:pStyle w:val="Style10"/>
        <w:widowControl/>
        <w:numPr>
          <w:ilvl w:val="0"/>
          <w:numId w:val="12"/>
        </w:numPr>
        <w:tabs>
          <w:tab w:val="left" w:pos="281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prowadzenie kampanii edukacyjnych, akcji kontrolnych dotyczących spalania odpadów,</w:t>
      </w:r>
    </w:p>
    <w:p w14:paraId="2DAD3D91" w14:textId="77777777" w:rsidR="00233667" w:rsidRPr="00233667" w:rsidRDefault="00233667" w:rsidP="00D3755B">
      <w:pPr>
        <w:pStyle w:val="Style10"/>
        <w:widowControl/>
        <w:numPr>
          <w:ilvl w:val="0"/>
          <w:numId w:val="12"/>
        </w:numPr>
        <w:tabs>
          <w:tab w:val="left" w:pos="281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wykorzystanie odnawialnych źródeł energii,</w:t>
      </w:r>
    </w:p>
    <w:p w14:paraId="6A1F9FC4" w14:textId="3B332E7B" w:rsidR="00233667" w:rsidRPr="00233667" w:rsidRDefault="00CB1C49" w:rsidP="00D3755B">
      <w:pPr>
        <w:pStyle w:val="Style10"/>
        <w:widowControl/>
        <w:numPr>
          <w:ilvl w:val="0"/>
          <w:numId w:val="12"/>
        </w:numPr>
        <w:tabs>
          <w:tab w:val="left" w:pos="281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lastRenderedPageBreak/>
        <w:t>termomodernizacja budynków</w:t>
      </w:r>
      <w:r w:rsidR="00233667" w:rsidRPr="00233667">
        <w:rPr>
          <w:rStyle w:val="FontStyle15"/>
          <w:rFonts w:ascii="Bookman Old Style" w:hAnsi="Bookman Old Style"/>
          <w:sz w:val="24"/>
          <w:szCs w:val="24"/>
        </w:rPr>
        <w:t>,</w:t>
      </w:r>
    </w:p>
    <w:p w14:paraId="5A4115F7" w14:textId="77777777" w:rsidR="00233667" w:rsidRPr="00233667" w:rsidRDefault="00233667" w:rsidP="00D3755B">
      <w:pPr>
        <w:pStyle w:val="Style10"/>
        <w:widowControl/>
        <w:numPr>
          <w:ilvl w:val="0"/>
          <w:numId w:val="12"/>
        </w:numPr>
        <w:tabs>
          <w:tab w:val="left" w:pos="281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wymiana oświetlenia zewnętrznego na energooszczędne,</w:t>
      </w:r>
    </w:p>
    <w:p w14:paraId="0DF496ED" w14:textId="77777777" w:rsidR="00233667" w:rsidRPr="00233667" w:rsidRDefault="00233667" w:rsidP="00D3755B">
      <w:pPr>
        <w:pStyle w:val="Style10"/>
        <w:widowControl/>
        <w:numPr>
          <w:ilvl w:val="0"/>
          <w:numId w:val="13"/>
        </w:numPr>
        <w:tabs>
          <w:tab w:val="left" w:pos="281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zagrożenia hałasem:</w:t>
      </w:r>
    </w:p>
    <w:p w14:paraId="7B4EAEAD" w14:textId="77777777" w:rsidR="00233667" w:rsidRPr="00233667" w:rsidRDefault="00233667" w:rsidP="00D3755B">
      <w:pPr>
        <w:pStyle w:val="Style10"/>
        <w:widowControl/>
        <w:numPr>
          <w:ilvl w:val="0"/>
          <w:numId w:val="12"/>
        </w:numPr>
        <w:tabs>
          <w:tab w:val="left" w:pos="281"/>
        </w:tabs>
        <w:spacing w:line="240" w:lineRule="auto"/>
        <w:ind w:left="564" w:hanging="281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remonty bieżące i kapitalne istniejących oraz budowa nowych dróg i ścieżek rowerowych w celu poprawy standardów technicznych,</w:t>
      </w:r>
    </w:p>
    <w:p w14:paraId="790D967F" w14:textId="77777777" w:rsidR="00233667" w:rsidRPr="00233667" w:rsidRDefault="00233667" w:rsidP="00D3755B">
      <w:pPr>
        <w:pStyle w:val="Style10"/>
        <w:widowControl/>
        <w:numPr>
          <w:ilvl w:val="0"/>
          <w:numId w:val="14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pól elektromagnetycznych:</w:t>
      </w:r>
    </w:p>
    <w:p w14:paraId="35441EB2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monitoring poziomów pól elektromagnetycznych,</w:t>
      </w:r>
    </w:p>
    <w:p w14:paraId="115A56DA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wzrost wykorzystywania odnawialnych źródeł energii w gminie,</w:t>
      </w:r>
    </w:p>
    <w:p w14:paraId="51C2A7E9" w14:textId="77777777" w:rsidR="00233667" w:rsidRPr="00233667" w:rsidRDefault="00233667" w:rsidP="00D3755B">
      <w:pPr>
        <w:pStyle w:val="Style10"/>
        <w:widowControl/>
        <w:numPr>
          <w:ilvl w:val="0"/>
          <w:numId w:val="16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gospodarowania wodami:</w:t>
      </w:r>
    </w:p>
    <w:p w14:paraId="33B070C2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rekultywacja jeziora,</w:t>
      </w:r>
    </w:p>
    <w:p w14:paraId="12E29786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udział mieszkańców gminy w programie „Moja woda",</w:t>
      </w:r>
    </w:p>
    <w:p w14:paraId="19DBA961" w14:textId="77777777" w:rsidR="00233667" w:rsidRPr="00233667" w:rsidRDefault="00233667" w:rsidP="00D3755B">
      <w:pPr>
        <w:pStyle w:val="Style10"/>
        <w:widowControl/>
        <w:numPr>
          <w:ilvl w:val="0"/>
          <w:numId w:val="17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gospodarki wodno-ściekowej:</w:t>
      </w:r>
    </w:p>
    <w:p w14:paraId="1AFD9C79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zapewnienie mieszkańcom wody spełniającej normy,</w:t>
      </w:r>
    </w:p>
    <w:p w14:paraId="0E688435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budowa sieci wodnokanalizacyjnej, odpowiednie oczyszczanie ścieków,</w:t>
      </w:r>
    </w:p>
    <w:p w14:paraId="5AA4AC36" w14:textId="77777777" w:rsidR="00233667" w:rsidRPr="00233667" w:rsidRDefault="00233667" w:rsidP="00D3755B">
      <w:pPr>
        <w:pStyle w:val="Style10"/>
        <w:widowControl/>
        <w:numPr>
          <w:ilvl w:val="0"/>
          <w:numId w:val="18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zasobów geologicznych:</w:t>
      </w:r>
    </w:p>
    <w:p w14:paraId="7A6F6DFA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ochrona złóż kopalin w procesie planowania przestrzennego,</w:t>
      </w:r>
    </w:p>
    <w:p w14:paraId="1FDB1246" w14:textId="77777777" w:rsidR="00233667" w:rsidRPr="00233667" w:rsidRDefault="00233667" w:rsidP="00D3755B">
      <w:pPr>
        <w:pStyle w:val="Style10"/>
        <w:widowControl/>
        <w:numPr>
          <w:ilvl w:val="0"/>
          <w:numId w:val="19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gleb:</w:t>
      </w:r>
    </w:p>
    <w:p w14:paraId="3258C40C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rekultywacja gleb zanieczyszczonych,</w:t>
      </w:r>
    </w:p>
    <w:p w14:paraId="1265D82E" w14:textId="77777777" w:rsidR="00233667" w:rsidRPr="00233667" w:rsidRDefault="00233667" w:rsidP="00D3755B">
      <w:pPr>
        <w:pStyle w:val="Style10"/>
        <w:widowControl/>
        <w:numPr>
          <w:ilvl w:val="0"/>
          <w:numId w:val="20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gospodarki odpadami i zapobiegania powstawaniu odpadów:</w:t>
      </w:r>
    </w:p>
    <w:p w14:paraId="68230BB0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likwidacja „dzikich wysypisk śmieci",</w:t>
      </w:r>
    </w:p>
    <w:p w14:paraId="23845ADF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usuwanie i unieszkodliwianie wyrobów zawierających azbest,</w:t>
      </w:r>
    </w:p>
    <w:p w14:paraId="279EE120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uszczelnienie systemu gospodarowania odpadami komunalnymi,</w:t>
      </w:r>
    </w:p>
    <w:p w14:paraId="152F4060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kontrola firm realizujących usługę odbioru i zagospodarowania odpadów komunalnych,</w:t>
      </w:r>
    </w:p>
    <w:p w14:paraId="50C55BBF" w14:textId="77777777" w:rsidR="00233667" w:rsidRPr="00233667" w:rsidRDefault="00233667" w:rsidP="00D3755B">
      <w:pPr>
        <w:pStyle w:val="Style10"/>
        <w:widowControl/>
        <w:numPr>
          <w:ilvl w:val="0"/>
          <w:numId w:val="21"/>
        </w:numPr>
        <w:tabs>
          <w:tab w:val="left" w:pos="274"/>
        </w:tabs>
        <w:spacing w:line="240" w:lineRule="auto"/>
        <w:ind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w zakresie zasobów przyrodniczych:</w:t>
      </w:r>
    </w:p>
    <w:p w14:paraId="3E5D830E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zapisy uniemożliwiające przekształcenia terenów cennych przyrodniczo,</w:t>
      </w:r>
    </w:p>
    <w:p w14:paraId="247993AB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utrzymanie pomników przyrody,</w:t>
      </w:r>
    </w:p>
    <w:p w14:paraId="6722C9F4" w14:textId="77777777" w:rsidR="00233667" w:rsidRPr="00233667" w:rsidRDefault="00233667" w:rsidP="00D3755B">
      <w:pPr>
        <w:pStyle w:val="Style4"/>
        <w:widowControl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10) w zakresie zagrożenia poważnymi awariami:</w:t>
      </w:r>
    </w:p>
    <w:p w14:paraId="3CAA96BE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1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kreowanie właściwych zachowali mieszkańców gminy w przypadku wystąpienia zagrożeń życia i środowiska z tytułu wystąpienia awarii przemysłowych lub klęsk żywiołowych,</w:t>
      </w:r>
    </w:p>
    <w:p w14:paraId="7765CF96" w14:textId="77777777" w:rsidR="00233667" w:rsidRPr="00233667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prowadzenie kampanii edukacyjnych,</w:t>
      </w:r>
    </w:p>
    <w:p w14:paraId="38509D20" w14:textId="77777777" w:rsidR="008550C2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233667">
        <w:rPr>
          <w:rStyle w:val="FontStyle15"/>
          <w:rFonts w:ascii="Bookman Old Style" w:hAnsi="Bookman Old Style"/>
          <w:sz w:val="24"/>
          <w:szCs w:val="24"/>
        </w:rPr>
        <w:t>przeprowadzenie szkoleń,</w:t>
      </w:r>
    </w:p>
    <w:p w14:paraId="376E5EB6" w14:textId="695D0963" w:rsidR="008550C2" w:rsidRPr="008550C2" w:rsidRDefault="00233667" w:rsidP="00D3755B">
      <w:pPr>
        <w:pStyle w:val="Style10"/>
        <w:widowControl/>
        <w:numPr>
          <w:ilvl w:val="0"/>
          <w:numId w:val="15"/>
        </w:numPr>
        <w:tabs>
          <w:tab w:val="left" w:pos="274"/>
        </w:tabs>
        <w:spacing w:line="240" w:lineRule="auto"/>
        <w:ind w:left="283" w:firstLine="0"/>
        <w:jc w:val="left"/>
        <w:rPr>
          <w:rStyle w:val="FontStyle15"/>
          <w:rFonts w:ascii="Bookman Old Style" w:hAnsi="Bookman Old Style"/>
          <w:sz w:val="24"/>
          <w:szCs w:val="24"/>
        </w:rPr>
      </w:pPr>
      <w:r w:rsidRPr="008550C2">
        <w:rPr>
          <w:rStyle w:val="FontStyle15"/>
          <w:rFonts w:ascii="Bookman Old Style" w:hAnsi="Bookman Old Style"/>
          <w:sz w:val="24"/>
          <w:szCs w:val="24"/>
        </w:rPr>
        <w:t xml:space="preserve">przeprowadzenie kontroli. </w:t>
      </w:r>
    </w:p>
    <w:p w14:paraId="674A9FA6" w14:textId="77777777" w:rsidR="00D3755B" w:rsidRDefault="00D3755B" w:rsidP="00D3755B">
      <w:pPr>
        <w:pStyle w:val="Bezodstpw"/>
        <w:jc w:val="both"/>
        <w:rPr>
          <w:rFonts w:ascii="Bookman Old Style" w:hAnsi="Bookman Old Style" w:cs="Arial"/>
          <w:szCs w:val="24"/>
          <w:lang w:val="pl-PL" w:eastAsia="pl-PL"/>
        </w:rPr>
      </w:pPr>
    </w:p>
    <w:p w14:paraId="2B5A3444" w14:textId="7D635897" w:rsidR="00B67181" w:rsidRPr="00133BC7" w:rsidRDefault="000857F9" w:rsidP="00D3755B">
      <w:pPr>
        <w:pStyle w:val="Bezodstpw"/>
        <w:jc w:val="both"/>
        <w:rPr>
          <w:lang w:val="pl-PL"/>
        </w:rPr>
      </w:pPr>
      <w:r w:rsidRPr="00D3755B">
        <w:rPr>
          <w:rFonts w:ascii="Bookman Old Style" w:hAnsi="Bookman Old Style" w:cs="Arial"/>
          <w:szCs w:val="24"/>
          <w:lang w:val="pl-PL" w:eastAsia="pl-PL"/>
        </w:rPr>
        <w:t xml:space="preserve"> </w:t>
      </w:r>
      <w:r w:rsidR="00B67181" w:rsidRPr="00D3755B">
        <w:rPr>
          <w:rFonts w:ascii="Bookman Old Style" w:hAnsi="Bookman Old Style"/>
          <w:color w:val="000000" w:themeColor="text1"/>
          <w:szCs w:val="24"/>
          <w:lang w:val="pl-PL"/>
        </w:rPr>
        <w:t>„</w:t>
      </w:r>
      <w:r w:rsidR="00133BC7" w:rsidRPr="00D3755B">
        <w:rPr>
          <w:rFonts w:ascii="Bookman Old Style" w:hAnsi="Bookman Old Style"/>
          <w:i/>
          <w:color w:val="000000" w:themeColor="text1"/>
          <w:szCs w:val="24"/>
          <w:lang w:val="pl-PL"/>
        </w:rPr>
        <w:t>Program Ochrony Środowiska dla Gminy Lubrza na lata 2021 – 2024 z perspektywą do 2028 roku</w:t>
      </w:r>
      <w:r w:rsidR="00B67181" w:rsidRPr="00D3755B">
        <w:rPr>
          <w:rFonts w:ascii="Bookman Old Style" w:hAnsi="Bookman Old Style"/>
          <w:color w:val="000000" w:themeColor="text1"/>
          <w:szCs w:val="24"/>
          <w:lang w:val="pl-PL"/>
        </w:rPr>
        <w:t>”</w:t>
      </w:r>
      <w:r w:rsidR="00B67181" w:rsidRPr="00233667">
        <w:rPr>
          <w:rFonts w:ascii="Bookman Old Style" w:hAnsi="Bookman Old Style"/>
          <w:szCs w:val="24"/>
          <w:lang w:val="pl-PL"/>
        </w:rPr>
        <w:t xml:space="preserve"> nie spowoduje negatywnego oddziaływania na środowisko naturalne. Nie wyznacza także ram dla późniejszej realizacji przedsięwzięć mogących znacząco bądź potencjalnie znacząco oddziaływać na środowisko</w:t>
      </w:r>
      <w:r w:rsidR="008550C2">
        <w:rPr>
          <w:rFonts w:ascii="Bookman Old Style" w:hAnsi="Bookman Old Style"/>
          <w:szCs w:val="24"/>
          <w:lang w:val="pl-PL"/>
        </w:rPr>
        <w:t xml:space="preserve"> oraz </w:t>
      </w:r>
      <w:r w:rsidR="008550C2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nie przewiduje się transgranicznego oddziaływania na środowisko.</w:t>
      </w:r>
      <w:r w:rsid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</w:t>
      </w:r>
      <w:r w:rsidR="008550C2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Ustalenia zawarte w dokumencie dotyczą obszaru mieszczącego się wyłącznie w </w:t>
      </w:r>
      <w:r w:rsidR="00CB1C49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granicach gminy</w:t>
      </w:r>
      <w:r w:rsidR="008550C2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Lubrza. </w:t>
      </w:r>
      <w:r w:rsidR="008550C2">
        <w:rPr>
          <w:rStyle w:val="FontStyle15"/>
          <w:rFonts w:ascii="Bookman Old Style" w:hAnsi="Bookman Old Style"/>
          <w:sz w:val="24"/>
          <w:szCs w:val="24"/>
        </w:rPr>
        <w:t>W</w:t>
      </w:r>
      <w:r w:rsidR="008550C2" w:rsidRPr="00233667">
        <w:rPr>
          <w:rStyle w:val="FontStyle15"/>
          <w:rFonts w:ascii="Bookman Old Style" w:hAnsi="Bookman Old Style"/>
          <w:sz w:val="24"/>
          <w:szCs w:val="24"/>
        </w:rPr>
        <w:t>drażanie Programu odbywać się będzie przez stałe monitorowanie uzyskiwanych efektów</w:t>
      </w:r>
      <w:r w:rsidR="008550C2">
        <w:rPr>
          <w:rStyle w:val="FontStyle15"/>
          <w:rFonts w:ascii="Bookman Old Style" w:hAnsi="Bookman Old Style"/>
          <w:sz w:val="24"/>
          <w:szCs w:val="24"/>
        </w:rPr>
        <w:t xml:space="preserve">. </w:t>
      </w:r>
      <w:r w:rsidR="008550C2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Planowane działania mają charakter proekologiczny, a ich realizacja pozytywnie wpłyn</w:t>
      </w:r>
      <w:r w:rsidR="00D3755B">
        <w:rPr>
          <w:rStyle w:val="FontStyle15"/>
          <w:rFonts w:ascii="Bookman Old Style" w:hAnsi="Bookman Old Style"/>
          <w:sz w:val="24"/>
          <w:szCs w:val="24"/>
          <w:lang w:val="pl-PL"/>
        </w:rPr>
        <w:t>ie</w:t>
      </w:r>
      <w:r w:rsidR="008550C2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na środowisko</w:t>
      </w:r>
      <w:r w:rsid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. </w:t>
      </w:r>
      <w:r w:rsidR="00CB1C49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Realizacja postanowień Programu</w:t>
      </w:r>
      <w:r w:rsidR="00D3755B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odbywać się będzie </w:t>
      </w:r>
      <w:r w:rsidR="00CB1C49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przy przestrzeganiu obowiązujących przepisów prawa w zakresie ochrony środowiska</w:t>
      </w:r>
      <w:r w:rsidR="00D3755B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oraz </w:t>
      </w:r>
      <w:r w:rsidR="00CB1C49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>zastosowaniu rozwiązań zapobiegających i ograniczających oddziaływanie na środowisko,</w:t>
      </w:r>
      <w:r w:rsidR="00D3755B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które</w:t>
      </w:r>
      <w:r w:rsidR="00CB1C49" w:rsidRPr="00CB1C49">
        <w:rPr>
          <w:rStyle w:val="FontStyle15"/>
          <w:rFonts w:ascii="Bookman Old Style" w:hAnsi="Bookman Old Style"/>
          <w:sz w:val="24"/>
          <w:szCs w:val="24"/>
          <w:lang w:val="pl-PL"/>
        </w:rPr>
        <w:t xml:space="preserve"> nie powinna spowodować zagrożeń dla środowiska oraz zdrowia ludzi</w:t>
      </w:r>
      <w:r w:rsidR="00D3755B">
        <w:rPr>
          <w:rStyle w:val="FontStyle15"/>
          <w:rFonts w:ascii="Bookman Old Style" w:hAnsi="Bookman Old Style"/>
          <w:sz w:val="24"/>
          <w:szCs w:val="24"/>
          <w:lang w:val="pl-PL"/>
        </w:rPr>
        <w:t>.</w:t>
      </w:r>
    </w:p>
    <w:sectPr w:rsidR="00B67181" w:rsidRPr="00133BC7" w:rsidSect="00241C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C2A7" w14:textId="77777777" w:rsidR="000801AE" w:rsidRDefault="000801AE" w:rsidP="000801AE">
      <w:pPr>
        <w:spacing w:line="240" w:lineRule="auto"/>
      </w:pPr>
      <w:r>
        <w:separator/>
      </w:r>
    </w:p>
  </w:endnote>
  <w:endnote w:type="continuationSeparator" w:id="0">
    <w:p w14:paraId="308735E7" w14:textId="77777777" w:rsidR="000801AE" w:rsidRDefault="000801AE" w:rsidP="00080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8205"/>
      <w:docPartObj>
        <w:docPartGallery w:val="Page Numbers (Bottom of Page)"/>
        <w:docPartUnique/>
      </w:docPartObj>
    </w:sdtPr>
    <w:sdtEndPr/>
    <w:sdtContent>
      <w:p w14:paraId="7DFCE06A" w14:textId="77777777" w:rsidR="000801AE" w:rsidRDefault="000003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3A30CD" w14:textId="77777777" w:rsidR="000801AE" w:rsidRDefault="0008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B55F" w14:textId="77777777" w:rsidR="000801AE" w:rsidRDefault="000801AE" w:rsidP="000801AE">
      <w:pPr>
        <w:spacing w:line="240" w:lineRule="auto"/>
      </w:pPr>
      <w:r>
        <w:separator/>
      </w:r>
    </w:p>
  </w:footnote>
  <w:footnote w:type="continuationSeparator" w:id="0">
    <w:p w14:paraId="0ACEB10F" w14:textId="77777777" w:rsidR="000801AE" w:rsidRDefault="000801AE" w:rsidP="00080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F4871E"/>
    <w:lvl w:ilvl="0">
      <w:numFmt w:val="bullet"/>
      <w:lvlText w:val="*"/>
      <w:lvlJc w:val="left"/>
    </w:lvl>
  </w:abstractNum>
  <w:abstractNum w:abstractNumId="1" w15:restartNumberingAfterBreak="0">
    <w:nsid w:val="008A4E98"/>
    <w:multiLevelType w:val="hybridMultilevel"/>
    <w:tmpl w:val="9FAC1010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638"/>
    <w:multiLevelType w:val="hybridMultilevel"/>
    <w:tmpl w:val="6C80D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6D1"/>
    <w:multiLevelType w:val="hybridMultilevel"/>
    <w:tmpl w:val="C548C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E31"/>
    <w:multiLevelType w:val="singleLevel"/>
    <w:tmpl w:val="2DF0A38A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92C96"/>
    <w:multiLevelType w:val="hybridMultilevel"/>
    <w:tmpl w:val="5730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E4D"/>
    <w:multiLevelType w:val="hybridMultilevel"/>
    <w:tmpl w:val="5232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6F87"/>
    <w:multiLevelType w:val="hybridMultilevel"/>
    <w:tmpl w:val="D0DE4AA8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0D1C"/>
    <w:multiLevelType w:val="singleLevel"/>
    <w:tmpl w:val="60005738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8078F7"/>
    <w:multiLevelType w:val="hybridMultilevel"/>
    <w:tmpl w:val="F0EEA2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8137A"/>
    <w:multiLevelType w:val="hybridMultilevel"/>
    <w:tmpl w:val="BE2ACCCC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4885"/>
    <w:multiLevelType w:val="hybridMultilevel"/>
    <w:tmpl w:val="D7D2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86252"/>
    <w:multiLevelType w:val="hybridMultilevel"/>
    <w:tmpl w:val="4262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5FFB"/>
    <w:multiLevelType w:val="hybridMultilevel"/>
    <w:tmpl w:val="7F0A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F39B7"/>
    <w:multiLevelType w:val="singleLevel"/>
    <w:tmpl w:val="AF3E7B0A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F153E28"/>
    <w:multiLevelType w:val="hybridMultilevel"/>
    <w:tmpl w:val="67CC93F4"/>
    <w:lvl w:ilvl="0" w:tplc="4134B6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6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lvl w:ilvl="0">
        <w:start w:val="8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9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181"/>
    <w:rsid w:val="0000033D"/>
    <w:rsid w:val="00042374"/>
    <w:rsid w:val="000801AE"/>
    <w:rsid w:val="000857F9"/>
    <w:rsid w:val="00133BC7"/>
    <w:rsid w:val="00233667"/>
    <w:rsid w:val="00241C4C"/>
    <w:rsid w:val="00264B3A"/>
    <w:rsid w:val="00453A7B"/>
    <w:rsid w:val="005536C9"/>
    <w:rsid w:val="0055630D"/>
    <w:rsid w:val="00557B9A"/>
    <w:rsid w:val="008550C2"/>
    <w:rsid w:val="008960BD"/>
    <w:rsid w:val="00A93461"/>
    <w:rsid w:val="00AC675B"/>
    <w:rsid w:val="00B67181"/>
    <w:rsid w:val="00B841E5"/>
    <w:rsid w:val="00B84BA6"/>
    <w:rsid w:val="00B94925"/>
    <w:rsid w:val="00C9085E"/>
    <w:rsid w:val="00CB1C49"/>
    <w:rsid w:val="00D3755B"/>
    <w:rsid w:val="00E01D63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DD7"/>
  <w15:docId w15:val="{98BCF38B-6619-41E0-B4B0-4995130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B3A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4B3A"/>
    <w:rPr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0801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1A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801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AE"/>
    <w:rPr>
      <w:sz w:val="24"/>
    </w:rPr>
  </w:style>
  <w:style w:type="paragraph" w:customStyle="1" w:styleId="Style3">
    <w:name w:val="Style3"/>
    <w:basedOn w:val="Normalny"/>
    <w:uiPriority w:val="99"/>
    <w:rsid w:val="00233667"/>
    <w:pPr>
      <w:widowControl w:val="0"/>
      <w:autoSpaceDE w:val="0"/>
      <w:autoSpaceDN w:val="0"/>
      <w:adjustRightInd w:val="0"/>
      <w:spacing w:line="360" w:lineRule="exact"/>
      <w:ind w:hanging="288"/>
      <w:jc w:val="both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paragraph" w:customStyle="1" w:styleId="Style4">
    <w:name w:val="Style4"/>
    <w:basedOn w:val="Normalny"/>
    <w:uiPriority w:val="99"/>
    <w:rsid w:val="0023366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paragraph" w:customStyle="1" w:styleId="Style5">
    <w:name w:val="Style5"/>
    <w:basedOn w:val="Normalny"/>
    <w:uiPriority w:val="99"/>
    <w:rsid w:val="00233667"/>
    <w:pPr>
      <w:widowControl w:val="0"/>
      <w:autoSpaceDE w:val="0"/>
      <w:autoSpaceDN w:val="0"/>
      <w:adjustRightInd w:val="0"/>
      <w:spacing w:line="357" w:lineRule="exact"/>
      <w:ind w:firstLine="835"/>
      <w:jc w:val="both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paragraph" w:customStyle="1" w:styleId="Style9">
    <w:name w:val="Style9"/>
    <w:basedOn w:val="Normalny"/>
    <w:uiPriority w:val="99"/>
    <w:rsid w:val="00233667"/>
    <w:pPr>
      <w:widowControl w:val="0"/>
      <w:autoSpaceDE w:val="0"/>
      <w:autoSpaceDN w:val="0"/>
      <w:adjustRightInd w:val="0"/>
      <w:spacing w:line="360" w:lineRule="exact"/>
      <w:ind w:firstLine="130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paragraph" w:customStyle="1" w:styleId="Style10">
    <w:name w:val="Style10"/>
    <w:basedOn w:val="Normalny"/>
    <w:uiPriority w:val="99"/>
    <w:rsid w:val="00233667"/>
    <w:pPr>
      <w:widowControl w:val="0"/>
      <w:autoSpaceDE w:val="0"/>
      <w:autoSpaceDN w:val="0"/>
      <w:adjustRightInd w:val="0"/>
      <w:spacing w:line="353" w:lineRule="exact"/>
      <w:ind w:hanging="259"/>
      <w:jc w:val="both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2336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Dorota Olenowicz</cp:lastModifiedBy>
  <cp:revision>9</cp:revision>
  <dcterms:created xsi:type="dcterms:W3CDTF">2016-01-21T08:28:00Z</dcterms:created>
  <dcterms:modified xsi:type="dcterms:W3CDTF">2020-12-14T10:41:00Z</dcterms:modified>
</cp:coreProperties>
</file>