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A" w:rsidRDefault="00F01304" w:rsidP="00F01304">
      <w:pPr>
        <w:jc w:val="center"/>
        <w:rPr>
          <w:b/>
        </w:rPr>
      </w:pPr>
      <w:r>
        <w:rPr>
          <w:b/>
        </w:rPr>
        <w:t>WÓJT  GMINY  LUBRZA</w:t>
      </w:r>
    </w:p>
    <w:p w:rsidR="00F01304" w:rsidRDefault="00F01304" w:rsidP="00F01304">
      <w:pPr>
        <w:jc w:val="center"/>
        <w:rPr>
          <w:b/>
        </w:rPr>
      </w:pPr>
    </w:p>
    <w:p w:rsidR="00F01304" w:rsidRDefault="00F01304" w:rsidP="00F01304">
      <w:pPr>
        <w:jc w:val="center"/>
        <w:rPr>
          <w:b/>
        </w:rPr>
      </w:pPr>
      <w:r>
        <w:rPr>
          <w:b/>
        </w:rPr>
        <w:t>podaje do publicznej wiadomości wykaz nieruchomości przeznaczonych do sprzedaży.</w:t>
      </w:r>
    </w:p>
    <w:p w:rsidR="00F01304" w:rsidRDefault="00F01304" w:rsidP="00F01304">
      <w:pPr>
        <w:rPr>
          <w:b/>
        </w:rPr>
      </w:pPr>
      <w:r>
        <w:rPr>
          <w:b/>
        </w:rPr>
        <w:tab/>
        <w:t xml:space="preserve">Przedmiotem zbycia jest nieruchomość zabudowana budynkiem mieszkalnym dwukondygnacyjnym </w:t>
      </w:r>
      <w:r w:rsidR="001200AD">
        <w:rPr>
          <w:b/>
        </w:rPr>
        <w:t>całkowicie podpiwniczonym z poddaszem mieszkalnym</w:t>
      </w:r>
      <w:r>
        <w:rPr>
          <w:b/>
        </w:rPr>
        <w:t>.</w:t>
      </w:r>
    </w:p>
    <w:p w:rsidR="00F01304" w:rsidRDefault="00F01304" w:rsidP="00F01304">
      <w:pPr>
        <w:rPr>
          <w:b/>
        </w:rPr>
      </w:pPr>
      <w:r>
        <w:rPr>
          <w:b/>
        </w:rPr>
        <w:t xml:space="preserve">Nieruchomość położona jest w Lubrzy przy ul. 3 Maja 9, na działce oznaczonej </w:t>
      </w:r>
    </w:p>
    <w:p w:rsidR="00F01304" w:rsidRDefault="00F01304" w:rsidP="00F01304">
      <w:pPr>
        <w:rPr>
          <w:b/>
        </w:rPr>
      </w:pPr>
      <w:r>
        <w:rPr>
          <w:b/>
        </w:rPr>
        <w:t>nr 202 – o pow. 0,0800 ha.</w:t>
      </w:r>
    </w:p>
    <w:p w:rsidR="00F01304" w:rsidRDefault="00F01304" w:rsidP="00F01304">
      <w:pPr>
        <w:rPr>
          <w:b/>
        </w:rPr>
      </w:pPr>
      <w:r>
        <w:rPr>
          <w:b/>
        </w:rPr>
        <w:tab/>
        <w:t>Przedmiotowa nieruchomość posiada Księgę Wieczystą Nr ZG1S/00021817/2</w:t>
      </w:r>
      <w:r w:rsidR="001200AD">
        <w:rPr>
          <w:b/>
        </w:rPr>
        <w:t>.</w:t>
      </w:r>
    </w:p>
    <w:p w:rsidR="001200AD" w:rsidRPr="001200AD" w:rsidRDefault="001200AD" w:rsidP="00F01304">
      <w:pPr>
        <w:rPr>
          <w:b/>
          <w:sz w:val="20"/>
          <w:szCs w:val="20"/>
        </w:rPr>
      </w:pPr>
      <w:r>
        <w:rPr>
          <w:b/>
        </w:rPr>
        <w:tab/>
        <w:t>Dla przedmiotowej nieruchomości brak jest planu zagospodarowania przestrzennego.</w:t>
      </w:r>
    </w:p>
    <w:p w:rsidR="001200AD" w:rsidRDefault="001200AD" w:rsidP="00F01304">
      <w:pPr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1476"/>
        <w:gridCol w:w="1567"/>
        <w:gridCol w:w="1461"/>
        <w:gridCol w:w="1485"/>
        <w:gridCol w:w="1382"/>
        <w:gridCol w:w="1100"/>
      </w:tblGrid>
      <w:tr w:rsidR="00515680" w:rsidTr="00515680">
        <w:tc>
          <w:tcPr>
            <w:tcW w:w="817" w:type="dxa"/>
          </w:tcPr>
          <w:p w:rsidR="00515680" w:rsidRPr="001200AD" w:rsidRDefault="00515680" w:rsidP="00F01304">
            <w:pPr>
              <w:rPr>
                <w:b/>
                <w:sz w:val="20"/>
                <w:szCs w:val="20"/>
              </w:rPr>
            </w:pPr>
            <w:r w:rsidRPr="001200AD">
              <w:rPr>
                <w:b/>
                <w:sz w:val="20"/>
                <w:szCs w:val="20"/>
              </w:rPr>
              <w:t>Nr lokal</w:t>
            </w: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476" w:type="dxa"/>
          </w:tcPr>
          <w:p w:rsidR="00515680" w:rsidRPr="001200AD" w:rsidRDefault="00515680" w:rsidP="001200AD">
            <w:pPr>
              <w:rPr>
                <w:b/>
                <w:sz w:val="20"/>
                <w:szCs w:val="20"/>
              </w:rPr>
            </w:pPr>
            <w:r w:rsidRPr="001200AD">
              <w:rPr>
                <w:b/>
                <w:sz w:val="20"/>
                <w:szCs w:val="20"/>
              </w:rPr>
              <w:t>Pow. użytkowa</w:t>
            </w:r>
            <w:r>
              <w:rPr>
                <w:b/>
                <w:sz w:val="20"/>
                <w:szCs w:val="20"/>
              </w:rPr>
              <w:t xml:space="preserve"> lokalu mieszkalnego m</w:t>
            </w:r>
            <w:r w:rsidRPr="001200A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67" w:type="dxa"/>
          </w:tcPr>
          <w:p w:rsidR="00515680" w:rsidRPr="001200AD" w:rsidRDefault="00515680" w:rsidP="00F0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Pow. pomieszczeń przynależnych m</w:t>
            </w:r>
            <w:r w:rsidRPr="001200A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61" w:type="dxa"/>
          </w:tcPr>
          <w:p w:rsidR="00515680" w:rsidRPr="001200AD" w:rsidRDefault="00515680" w:rsidP="00F0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nieruchomości ogółem zł</w:t>
            </w:r>
          </w:p>
        </w:tc>
        <w:tc>
          <w:tcPr>
            <w:tcW w:w="1485" w:type="dxa"/>
          </w:tcPr>
          <w:p w:rsidR="00515680" w:rsidRPr="001200AD" w:rsidRDefault="00515680" w:rsidP="00F0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Udział w nieruchomości wspólnej</w:t>
            </w:r>
          </w:p>
        </w:tc>
        <w:tc>
          <w:tcPr>
            <w:tcW w:w="1382" w:type="dxa"/>
          </w:tcPr>
          <w:p w:rsidR="00515680" w:rsidRPr="00515680" w:rsidRDefault="00515680" w:rsidP="00F013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nieruchomości</w:t>
            </w:r>
          </w:p>
        </w:tc>
        <w:tc>
          <w:tcPr>
            <w:tcW w:w="1100" w:type="dxa"/>
          </w:tcPr>
          <w:p w:rsidR="00515680" w:rsidRPr="00515680" w:rsidRDefault="00515680" w:rsidP="00F01304">
            <w:pPr>
              <w:rPr>
                <w:b/>
                <w:sz w:val="20"/>
                <w:szCs w:val="20"/>
              </w:rPr>
            </w:pPr>
            <w:r w:rsidRPr="00515680">
              <w:rPr>
                <w:b/>
                <w:sz w:val="20"/>
                <w:szCs w:val="20"/>
              </w:rPr>
              <w:t>Uwagi</w:t>
            </w:r>
          </w:p>
        </w:tc>
      </w:tr>
      <w:tr w:rsidR="00515680" w:rsidTr="00515680">
        <w:tc>
          <w:tcPr>
            <w:tcW w:w="817" w:type="dxa"/>
          </w:tcPr>
          <w:p w:rsidR="00515680" w:rsidRDefault="00515680" w:rsidP="0051568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76" w:type="dxa"/>
          </w:tcPr>
          <w:p w:rsidR="00515680" w:rsidRDefault="00515680" w:rsidP="00515680">
            <w:pPr>
              <w:jc w:val="center"/>
              <w:rPr>
                <w:b/>
              </w:rPr>
            </w:pPr>
            <w:r>
              <w:rPr>
                <w:b/>
              </w:rPr>
              <w:t>61,89</w:t>
            </w:r>
          </w:p>
        </w:tc>
        <w:tc>
          <w:tcPr>
            <w:tcW w:w="1567" w:type="dxa"/>
          </w:tcPr>
          <w:p w:rsidR="00515680" w:rsidRDefault="00515680" w:rsidP="00515680">
            <w:pPr>
              <w:jc w:val="center"/>
              <w:rPr>
                <w:b/>
              </w:rPr>
            </w:pPr>
            <w:r>
              <w:rPr>
                <w:b/>
              </w:rPr>
              <w:t>9,71</w:t>
            </w:r>
          </w:p>
        </w:tc>
        <w:tc>
          <w:tcPr>
            <w:tcW w:w="1461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112.914,00</w:t>
            </w:r>
          </w:p>
        </w:tc>
        <w:tc>
          <w:tcPr>
            <w:tcW w:w="1485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265/1000</w:t>
            </w:r>
          </w:p>
        </w:tc>
        <w:tc>
          <w:tcPr>
            <w:tcW w:w="1382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Samodzielny lokal mieszkalny</w:t>
            </w:r>
          </w:p>
        </w:tc>
        <w:tc>
          <w:tcPr>
            <w:tcW w:w="1100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przetarg</w:t>
            </w:r>
          </w:p>
        </w:tc>
      </w:tr>
      <w:tr w:rsidR="00515680" w:rsidTr="00515680">
        <w:tc>
          <w:tcPr>
            <w:tcW w:w="817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76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80,64</w:t>
            </w:r>
          </w:p>
        </w:tc>
        <w:tc>
          <w:tcPr>
            <w:tcW w:w="1567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16,40</w:t>
            </w:r>
          </w:p>
        </w:tc>
        <w:tc>
          <w:tcPr>
            <w:tcW w:w="1461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127.700,00</w:t>
            </w:r>
          </w:p>
        </w:tc>
        <w:tc>
          <w:tcPr>
            <w:tcW w:w="1485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360/1000</w:t>
            </w:r>
          </w:p>
        </w:tc>
        <w:tc>
          <w:tcPr>
            <w:tcW w:w="1382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Samodzielny lokal mieszkalny</w:t>
            </w:r>
          </w:p>
        </w:tc>
        <w:tc>
          <w:tcPr>
            <w:tcW w:w="1100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Zbycie na rzecz najemcy</w:t>
            </w:r>
          </w:p>
        </w:tc>
      </w:tr>
      <w:tr w:rsidR="00515680" w:rsidTr="00515680">
        <w:tc>
          <w:tcPr>
            <w:tcW w:w="817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6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71,90</w:t>
            </w:r>
          </w:p>
        </w:tc>
        <w:tc>
          <w:tcPr>
            <w:tcW w:w="1567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29,22</w:t>
            </w:r>
          </w:p>
        </w:tc>
        <w:tc>
          <w:tcPr>
            <w:tcW w:w="1461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94.800,00</w:t>
            </w:r>
          </w:p>
        </w:tc>
        <w:tc>
          <w:tcPr>
            <w:tcW w:w="1485" w:type="dxa"/>
          </w:tcPr>
          <w:p w:rsidR="00515680" w:rsidRDefault="007E1829" w:rsidP="007E1829">
            <w:pPr>
              <w:jc w:val="center"/>
              <w:rPr>
                <w:b/>
              </w:rPr>
            </w:pPr>
            <w:r>
              <w:rPr>
                <w:b/>
              </w:rPr>
              <w:t>375/1000</w:t>
            </w:r>
          </w:p>
        </w:tc>
        <w:tc>
          <w:tcPr>
            <w:tcW w:w="1382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Samodzielny lokal mieszkalny</w:t>
            </w:r>
          </w:p>
        </w:tc>
        <w:tc>
          <w:tcPr>
            <w:tcW w:w="1100" w:type="dxa"/>
          </w:tcPr>
          <w:p w:rsidR="00515680" w:rsidRDefault="007E1829" w:rsidP="00F01304">
            <w:pPr>
              <w:rPr>
                <w:b/>
              </w:rPr>
            </w:pPr>
            <w:r>
              <w:rPr>
                <w:b/>
              </w:rPr>
              <w:t>Zbycie na rzecz najemcy</w:t>
            </w:r>
          </w:p>
        </w:tc>
      </w:tr>
    </w:tbl>
    <w:p w:rsidR="000D3E59" w:rsidRDefault="000D3E59" w:rsidP="000D3E59">
      <w:pPr>
        <w:pStyle w:val="Akapitzlist"/>
        <w:ind w:left="0"/>
        <w:rPr>
          <w:b/>
        </w:rPr>
      </w:pPr>
    </w:p>
    <w:p w:rsidR="000D3E59" w:rsidRDefault="007E1829" w:rsidP="000D3E5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Wykaz niniejszy wywiesza się na okres 21 dni w siedzibie Urzędu Gminy</w:t>
      </w:r>
    </w:p>
    <w:p w:rsidR="000D3E59" w:rsidRDefault="007E1829" w:rsidP="000D3E59">
      <w:pPr>
        <w:pStyle w:val="Akapitzlist"/>
        <w:ind w:left="720"/>
        <w:rPr>
          <w:b/>
        </w:rPr>
      </w:pPr>
      <w:r>
        <w:rPr>
          <w:b/>
        </w:rPr>
        <w:t xml:space="preserve"> w </w:t>
      </w:r>
      <w:r w:rsidR="000D3E59">
        <w:rPr>
          <w:b/>
        </w:rPr>
        <w:t>L</w:t>
      </w:r>
      <w:r>
        <w:rPr>
          <w:b/>
        </w:rPr>
        <w:t>ubrzy</w:t>
      </w:r>
      <w:r w:rsidR="000D3E59">
        <w:rPr>
          <w:b/>
        </w:rPr>
        <w:t xml:space="preserve">, ul. Świebodzińska 68, ponadto informacje o wywieszeniu podaje się do publicznej wiadomości poprzez rozplakatowanie na słupach ogłoszeniowych we wszystkich miejscowościach Gminy Lubrza, a także poprzez ogłoszenie w prasie lokalnej i na stronie internetowej </w:t>
      </w:r>
      <w:hyperlink r:id="rId5" w:history="1">
        <w:r w:rsidR="000D3E59" w:rsidRPr="002E5D54">
          <w:rPr>
            <w:rStyle w:val="Hipercze"/>
            <w:b/>
          </w:rPr>
          <w:t>www.lubrza.pl</w:t>
        </w:r>
      </w:hyperlink>
      <w:r w:rsidR="000D3E59">
        <w:rPr>
          <w:b/>
        </w:rPr>
        <w:t>.</w:t>
      </w:r>
    </w:p>
    <w:p w:rsidR="000D3E59" w:rsidRDefault="000D3E59" w:rsidP="000D3E5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Osoby fizyczne i prawne, którym przysługuje pierwszeństwo w nabyciu nieruchomości na podstawie art. 34 ust. 1 pkt. 1 i 2 ustawy o gospodarce nieruchomościami, w terminie 6 tygodni od daty wywieszenia wykazu, winny złożyć wniosek o nabycie podanej w wykazie nieruchomości.</w:t>
      </w:r>
    </w:p>
    <w:p w:rsidR="000D3E59" w:rsidRDefault="000D3E59" w:rsidP="000D3E59">
      <w:pPr>
        <w:pStyle w:val="Akapitzlist"/>
        <w:ind w:left="720"/>
        <w:rPr>
          <w:b/>
        </w:rPr>
      </w:pPr>
    </w:p>
    <w:p w:rsidR="000D3E59" w:rsidRDefault="000D3E59" w:rsidP="000D3E59">
      <w:pPr>
        <w:pStyle w:val="Akapitzlist"/>
        <w:ind w:left="720"/>
        <w:rPr>
          <w:b/>
        </w:rPr>
      </w:pPr>
      <w:r>
        <w:rPr>
          <w:b/>
        </w:rPr>
        <w:t>Lubrza, 12 października 2012 r.</w:t>
      </w:r>
    </w:p>
    <w:p w:rsidR="000D3E59" w:rsidRPr="007E1829" w:rsidRDefault="000D3E59" w:rsidP="000D3E59">
      <w:pPr>
        <w:pStyle w:val="Akapitzlist"/>
        <w:ind w:left="720"/>
        <w:rPr>
          <w:b/>
        </w:rPr>
      </w:pPr>
    </w:p>
    <w:sectPr w:rsidR="000D3E59" w:rsidRPr="007E1829" w:rsidSect="00E64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30B"/>
    <w:multiLevelType w:val="hybridMultilevel"/>
    <w:tmpl w:val="AB32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CC1"/>
    <w:multiLevelType w:val="hybridMultilevel"/>
    <w:tmpl w:val="327650DC"/>
    <w:lvl w:ilvl="0" w:tplc="6B38C1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/>
  <w:rsids>
    <w:rsidRoot w:val="00F01304"/>
    <w:rsid w:val="000D3E59"/>
    <w:rsid w:val="001200AD"/>
    <w:rsid w:val="00515680"/>
    <w:rsid w:val="007168A4"/>
    <w:rsid w:val="00796104"/>
    <w:rsid w:val="007E1829"/>
    <w:rsid w:val="00A30947"/>
    <w:rsid w:val="00B93F6B"/>
    <w:rsid w:val="00E645AA"/>
    <w:rsid w:val="00F01304"/>
    <w:rsid w:val="00F01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947"/>
    <w:pPr>
      <w:widowControl w:val="0"/>
      <w:suppressAutoHyphens/>
    </w:pPr>
    <w:rPr>
      <w:rFonts w:cs="Tahoma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3F6B"/>
    <w:pPr>
      <w:keepNext/>
      <w:spacing w:before="240" w:after="60"/>
      <w:outlineLvl w:val="0"/>
    </w:pPr>
    <w:rPr>
      <w:rFonts w:asciiTheme="majorHAnsi" w:eastAsiaTheme="majorEastAsia" w:hAnsiTheme="majorHAnsi" w:cs="Mangal"/>
      <w:b/>
      <w:bCs/>
      <w:kern w:val="32"/>
      <w:sz w:val="32"/>
      <w:szCs w:val="29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3F6B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93F6B"/>
    <w:pPr>
      <w:keepNext/>
      <w:spacing w:before="240" w:after="60"/>
      <w:outlineLvl w:val="2"/>
    </w:pPr>
    <w:rPr>
      <w:rFonts w:asciiTheme="majorHAnsi" w:eastAsiaTheme="majorEastAsia" w:hAnsiTheme="majorHAnsi" w:cs="Mangal"/>
      <w:b/>
      <w:bCs/>
      <w:sz w:val="26"/>
      <w:szCs w:val="23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93F6B"/>
    <w:pPr>
      <w:keepNext/>
      <w:spacing w:before="240" w:after="60"/>
      <w:outlineLvl w:val="3"/>
    </w:pPr>
    <w:rPr>
      <w:rFonts w:asciiTheme="minorHAnsi" w:eastAsiaTheme="minorEastAsia" w:hAnsiTheme="minorHAnsi" w:cs="Mangal"/>
      <w:b/>
      <w:bCs/>
      <w:sz w:val="28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3F6B"/>
    <w:pPr>
      <w:spacing w:before="240" w:after="60"/>
      <w:outlineLvl w:val="4"/>
    </w:pPr>
    <w:rPr>
      <w:rFonts w:asciiTheme="minorHAnsi" w:eastAsiaTheme="minorEastAsia" w:hAnsiTheme="minorHAnsi" w:cs="Mangal"/>
      <w:b/>
      <w:bCs/>
      <w:i/>
      <w:iCs/>
      <w:sz w:val="26"/>
      <w:szCs w:val="23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93F6B"/>
    <w:pPr>
      <w:spacing w:before="240" w:after="60"/>
      <w:outlineLvl w:val="5"/>
    </w:pPr>
    <w:rPr>
      <w:rFonts w:asciiTheme="minorHAnsi" w:eastAsiaTheme="minorEastAsia" w:hAnsiTheme="minorHAnsi" w:cs="Mangal"/>
      <w:b/>
      <w:bCs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93F6B"/>
    <w:pPr>
      <w:spacing w:before="240" w:after="60"/>
      <w:outlineLvl w:val="6"/>
    </w:pPr>
    <w:rPr>
      <w:rFonts w:asciiTheme="minorHAnsi" w:eastAsiaTheme="minorEastAsia" w:hAnsiTheme="minorHAnsi" w:cs="Mangal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93F6B"/>
    <w:pPr>
      <w:spacing w:before="240" w:after="60"/>
      <w:outlineLvl w:val="7"/>
    </w:pPr>
    <w:rPr>
      <w:rFonts w:asciiTheme="minorHAnsi" w:eastAsiaTheme="minorEastAsia" w:hAnsiTheme="minorHAnsi" w:cs="Mangal"/>
      <w:i/>
      <w:iCs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93F6B"/>
    <w:pPr>
      <w:spacing w:before="240" w:after="60"/>
      <w:outlineLvl w:val="8"/>
    </w:pPr>
    <w:rPr>
      <w:rFonts w:asciiTheme="majorHAnsi" w:eastAsiaTheme="majorEastAsia" w:hAnsiTheme="majorHAnsi" w:cs="Mang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3F6B"/>
    <w:rPr>
      <w:rFonts w:asciiTheme="majorHAnsi" w:eastAsiaTheme="majorEastAsia" w:hAnsiTheme="majorHAnsi" w:cs="Mangal"/>
      <w:b/>
      <w:bCs/>
      <w:kern w:val="32"/>
      <w:sz w:val="32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3F6B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93F6B"/>
    <w:rPr>
      <w:rFonts w:asciiTheme="majorHAnsi" w:eastAsiaTheme="majorEastAsia" w:hAnsiTheme="majorHAnsi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3F6B"/>
    <w:rPr>
      <w:rFonts w:asciiTheme="minorHAnsi" w:eastAsiaTheme="minorEastAsia" w:hAnsiTheme="minorHAns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93F6B"/>
    <w:rPr>
      <w:rFonts w:asciiTheme="minorHAnsi" w:eastAsiaTheme="minorEastAsia" w:hAnsiTheme="minorHAns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93F6B"/>
    <w:rPr>
      <w:rFonts w:asciiTheme="minorHAnsi" w:eastAsiaTheme="minorEastAsia" w:hAnsiTheme="minorHAns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93F6B"/>
    <w:rPr>
      <w:rFonts w:asciiTheme="minorHAnsi" w:eastAsiaTheme="minorEastAsia" w:hAnsiTheme="minorHAns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93F6B"/>
    <w:rPr>
      <w:rFonts w:asciiTheme="minorHAnsi" w:eastAsiaTheme="minorEastAsia" w:hAnsiTheme="minorHAns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93F6B"/>
    <w:rPr>
      <w:rFonts w:asciiTheme="majorHAnsi" w:eastAsiaTheme="majorEastAsia" w:hAnsiTheme="majorHAnsi" w:cs="Mangal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B93F6B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TytuZnak">
    <w:name w:val="Tytuł Znak"/>
    <w:basedOn w:val="Domylnaczcionkaakapitu"/>
    <w:link w:val="Tytu"/>
    <w:uiPriority w:val="10"/>
    <w:rsid w:val="00B93F6B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93F6B"/>
    <w:pPr>
      <w:spacing w:after="60"/>
      <w:jc w:val="center"/>
      <w:outlineLvl w:val="1"/>
    </w:pPr>
    <w:rPr>
      <w:rFonts w:asciiTheme="majorHAnsi" w:eastAsiaTheme="majorEastAsia" w:hAnsiTheme="majorHAnsi" w:cs="Mangal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B93F6B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B93F6B"/>
    <w:rPr>
      <w:b/>
      <w:bCs/>
    </w:rPr>
  </w:style>
  <w:style w:type="character" w:styleId="Uwydatnienie">
    <w:name w:val="Emphasis"/>
    <w:basedOn w:val="Domylnaczcionkaakapitu"/>
    <w:uiPriority w:val="20"/>
    <w:qFormat/>
    <w:rsid w:val="00B93F6B"/>
    <w:rPr>
      <w:i/>
      <w:iCs/>
    </w:rPr>
  </w:style>
  <w:style w:type="paragraph" w:styleId="Bezodstpw">
    <w:name w:val="No Spacing"/>
    <w:basedOn w:val="Normalny"/>
    <w:uiPriority w:val="1"/>
    <w:qFormat/>
    <w:rsid w:val="00B93F6B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B93F6B"/>
    <w:pPr>
      <w:ind w:left="708"/>
    </w:pPr>
    <w:rPr>
      <w:rFonts w:cs="Mangal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B93F6B"/>
    <w:rPr>
      <w:rFonts w:cs="Mangal"/>
      <w:i/>
      <w:iCs/>
      <w:color w:val="000000" w:themeColor="text1"/>
      <w:szCs w:val="21"/>
    </w:rPr>
  </w:style>
  <w:style w:type="character" w:customStyle="1" w:styleId="CytatZnak">
    <w:name w:val="Cytat Znak"/>
    <w:basedOn w:val="Domylnaczcionkaakapitu"/>
    <w:link w:val="Cytat"/>
    <w:uiPriority w:val="29"/>
    <w:rsid w:val="00B93F6B"/>
    <w:rPr>
      <w:rFonts w:eastAsia="Arial Unicode MS" w:cs="Mangal"/>
      <w:i/>
      <w:iCs/>
      <w:color w:val="000000" w:themeColor="text1"/>
      <w:kern w:val="1"/>
      <w:sz w:val="24"/>
      <w:szCs w:val="21"/>
      <w:lang w:eastAsia="hi-I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93F6B"/>
    <w:pPr>
      <w:pBdr>
        <w:bottom w:val="single" w:sz="4" w:space="4" w:color="4F81BD" w:themeColor="accent1"/>
      </w:pBdr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93F6B"/>
    <w:rPr>
      <w:rFonts w:eastAsia="Arial Unicode MS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character" w:styleId="Wyrnieniedelikatne">
    <w:name w:val="Subtle Emphasis"/>
    <w:uiPriority w:val="19"/>
    <w:qFormat/>
    <w:rsid w:val="00B93F6B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B93F6B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B93F6B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B93F6B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B93F6B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93F6B"/>
    <w:pPr>
      <w:outlineLvl w:val="9"/>
    </w:pPr>
  </w:style>
  <w:style w:type="table" w:styleId="Tabela-Siatka">
    <w:name w:val="Table Grid"/>
    <w:basedOn w:val="Standardowy"/>
    <w:uiPriority w:val="59"/>
    <w:rsid w:val="00120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D3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br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Danuta</cp:lastModifiedBy>
  <cp:revision>1</cp:revision>
  <cp:lastPrinted>2012-10-11T06:42:00Z</cp:lastPrinted>
  <dcterms:created xsi:type="dcterms:W3CDTF">2012-10-11T05:52:00Z</dcterms:created>
  <dcterms:modified xsi:type="dcterms:W3CDTF">2012-10-11T06:46:00Z</dcterms:modified>
</cp:coreProperties>
</file>