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01B">
        <w:rPr>
          <w:rFonts w:ascii="Times New Roman" w:hAnsi="Times New Roman" w:cs="Times New Roman"/>
          <w:sz w:val="20"/>
          <w:szCs w:val="20"/>
        </w:rPr>
        <w:t xml:space="preserve">Załącznik Nr 3 do Projektu Uchwały w sprawie WPF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01B">
        <w:rPr>
          <w:rFonts w:ascii="Times New Roman" w:hAnsi="Times New Roman" w:cs="Times New Roman"/>
          <w:b/>
          <w:bCs/>
          <w:sz w:val="28"/>
          <w:szCs w:val="28"/>
        </w:rPr>
        <w:t>Opis przyjętych wartości do Wieloletniej Prognozy Finansowej Gminy Lubrza  na lata 2016-2019.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001B">
        <w:rPr>
          <w:rFonts w:ascii="Times New Roman" w:hAnsi="Times New Roman" w:cs="Times New Roman"/>
          <w:b/>
          <w:bCs/>
          <w:sz w:val="28"/>
          <w:szCs w:val="28"/>
        </w:rPr>
        <w:t>Założenia wstępne</w:t>
      </w:r>
    </w:p>
    <w:p w:rsidR="0051001B" w:rsidRPr="0051001B" w:rsidRDefault="0051001B" w:rsidP="0051001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Długość okresu objętego prognozą wynika z art. 227 ust. 2 Ustawy z dnia 27 sierpnia 2009  r. o finansach publicznych (Dz. U. Nr 157, poz. 1240 ze zm.) (dalej zwana Ustawą).                    Z brzmienia przepisu wynika, iż prognozę należy sporządzić na czas nie krótszy niż okres na jaki przyjęto limity wydatków dla przedsięwzięć o których mowa w art. 226 ust. 3.  Wieloletnia Prognoza Finansowa Gminy Lubrza  przygotowana została na lata 2015 – 2019.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Odległy czas prognozowania zwiększa ryzyko niewłaściwego oszacowania wartości przyjętych w prognozie w odniesieniu do wartości faktycznie uzyskanych.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Zwracając uwagę na kroczący charakter prognozy, która corocznie będzie uaktualniana przyjęto następujące założenia: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dla roku 2016 przyjęto wartości wynikające z projektu budżetu;</w:t>
      </w:r>
    </w:p>
    <w:p w:rsidR="0051001B" w:rsidRPr="0051001B" w:rsidRDefault="0051001B" w:rsidP="0051001B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dla lat 2017-2019</w:t>
      </w:r>
    </w:p>
    <w:p w:rsidR="0051001B" w:rsidRPr="0051001B" w:rsidRDefault="0051001B" w:rsidP="0051001B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 przyjęto sposób prognozowania, poprzez indeksację o poszczególne wskaźniki oraz korekty merytoryczne;</w:t>
      </w:r>
    </w:p>
    <w:p w:rsidR="0051001B" w:rsidRPr="0051001B" w:rsidRDefault="0051001B" w:rsidP="0051001B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dochody majątkowe za lata 2016-2019 obejmują dochody z tytułu dotacji oraz środków pozyskanych na inwestycje pozyskanych z unii </w:t>
      </w:r>
    </w:p>
    <w:p w:rsidR="0051001B" w:rsidRPr="0051001B" w:rsidRDefault="0051001B" w:rsidP="0051001B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dla lat  2017-2019 przyjęto prognozę z roku 2017 z wyłączeniem dochodów majątkowych.</w:t>
      </w:r>
    </w:p>
    <w:p w:rsidR="0051001B" w:rsidRPr="0051001B" w:rsidRDefault="0051001B" w:rsidP="0051001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Podzielenie prognozy w powyższy sposób pozwala na realną ocenę możliwości inwestycyjno-kredytowych Gminy.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Dla prognozy w latach 2015-2018 przyjęto co następuje: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01B">
        <w:rPr>
          <w:rFonts w:ascii="Times New Roman" w:hAnsi="Times New Roman" w:cs="Times New Roman"/>
          <w:color w:val="000000"/>
          <w:sz w:val="24"/>
          <w:szCs w:val="24"/>
        </w:rPr>
        <w:t>- poziom inflacji (mierzonej wskaźnikiem wzrostu cen dóbr i usług konsumpcyjnych - CPI)   w badanym okresie: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60"/>
        <w:gridCol w:w="760"/>
        <w:gridCol w:w="760"/>
        <w:gridCol w:w="760"/>
      </w:tblGrid>
      <w:tr w:rsidR="0051001B" w:rsidRPr="00510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1001B" w:rsidRPr="0051001B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Inflacja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2,8  %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2,50%</w:t>
            </w:r>
          </w:p>
        </w:tc>
      </w:tr>
    </w:tbl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01B">
        <w:rPr>
          <w:rFonts w:ascii="Times New Roman" w:hAnsi="Times New Roman" w:cs="Times New Roman"/>
          <w:color w:val="000000"/>
          <w:sz w:val="24"/>
          <w:szCs w:val="24"/>
        </w:rPr>
        <w:t>- poziom PKB w badanym okresie: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60"/>
        <w:gridCol w:w="760"/>
        <w:gridCol w:w="760"/>
        <w:gridCol w:w="760"/>
      </w:tblGrid>
      <w:tr w:rsidR="0051001B" w:rsidRPr="00510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1001B" w:rsidRPr="0051001B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PKB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1B" w:rsidRPr="0051001B" w:rsidRDefault="0051001B" w:rsidP="00510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3,90%</w:t>
            </w:r>
          </w:p>
        </w:tc>
      </w:tr>
    </w:tbl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Prognoza dochodów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Prognozy dochodów dokonano przy następujących założeniach: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lastRenderedPageBreak/>
        <w:t>- w dochodach ogółem dokonano podziału na dochody majątkowe i bieżące.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 dochodach bieżących prognozowano w podziale na kategorie: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podatki i opłaty lokalne (wyszczególniając podatek od :  nieruchomości, rolny, leśny,   środków transportowych, opłatę za zezwolenie na sprzedaż alkoholu ,  pozostałe podatki i opłaty  z uwagi na ich niewysokie wpływy przyjęto w dochodach pozostałych)</w:t>
      </w:r>
    </w:p>
    <w:p w:rsidR="0051001B" w:rsidRPr="0051001B" w:rsidRDefault="0051001B" w:rsidP="0051001B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wpływy z usług</w:t>
      </w:r>
    </w:p>
    <w:p w:rsidR="0051001B" w:rsidRPr="0051001B" w:rsidRDefault="0051001B" w:rsidP="0051001B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subwencje z budżetu państwa w kwotach ogółem</w:t>
      </w:r>
    </w:p>
    <w:p w:rsidR="0051001B" w:rsidRPr="0051001B" w:rsidRDefault="0051001B" w:rsidP="0051001B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udział w podatku dochodowym od osób fizycznych – PIT </w:t>
      </w:r>
    </w:p>
    <w:p w:rsidR="0051001B" w:rsidRPr="0051001B" w:rsidRDefault="0051001B" w:rsidP="0051001B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 dotacje (wyszczególniając dotacje: na zadania zlecone i powierzone oraz na zadania własne)</w:t>
      </w:r>
    </w:p>
    <w:p w:rsidR="0051001B" w:rsidRPr="0051001B" w:rsidRDefault="0051001B" w:rsidP="0051001B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pozostałe dochody bieżące (bez  ich wyszczególniania )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Dochody majątkowe  prognozowano w podziale na kategorie: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5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dochody z majątku (wyszczególniając sprzedaż mienia )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Dochody o charakterze majątkowym prognozowano tylko do terminów, które umożliwiły racjonalne przewidzenie kształtowania się wpływów z tych kategorii.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Uzyskane w powyższy sposób wartości dochodów zsumowano w kategorie dochodów bieżących i majątkowych a następnie dochodów ogółem.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Zestawienie ogólnych kwot przedstawiono w załączniku Nr 1.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Prognoza wydatków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Podobnie jak dochody przy prognozowaniu, wydatki podzielono na kategorie wydatków bieżących i wydatków majątkowych.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Wydatki bieżące dodatkowo podzielone zostały na poszczególne paragrafy klasyfikacji budżetowej, a wśród nich wyodrębniono wydatki z tytułu: </w:t>
      </w:r>
    </w:p>
    <w:p w:rsidR="0051001B" w:rsidRPr="0051001B" w:rsidRDefault="0051001B" w:rsidP="0051001B">
      <w:pPr>
        <w:widowControl w:val="0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wynagrodzeń i składek od nich naliczanych,</w:t>
      </w:r>
    </w:p>
    <w:p w:rsidR="0051001B" w:rsidRPr="0051001B" w:rsidRDefault="0051001B" w:rsidP="0051001B">
      <w:pPr>
        <w:widowControl w:val="0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dotacji( z wyszczególnieniem dotacji podmiotowej :  do niepublicznej jednostki systemu  oświaty,  dla samorządowej instytucji kultury , dotacji przedmiotowej dla  samorządowego zakładu budżetowego oraz dotacji na finansowanie lub dofinansowanie zadań zleconych do realizacji pozostałym jednostkom niezaliczanym do sektora finansów publicznych), </w:t>
      </w:r>
    </w:p>
    <w:p w:rsidR="0051001B" w:rsidRPr="0051001B" w:rsidRDefault="0051001B" w:rsidP="0051001B">
      <w:pPr>
        <w:widowControl w:val="0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świadczeń na rzecz osób fizycznych, </w:t>
      </w:r>
    </w:p>
    <w:p w:rsidR="0051001B" w:rsidRPr="0051001B" w:rsidRDefault="0051001B" w:rsidP="0051001B">
      <w:pPr>
        <w:widowControl w:val="0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obsługi długu, </w:t>
      </w:r>
    </w:p>
    <w:p w:rsidR="0051001B" w:rsidRPr="0051001B" w:rsidRDefault="0051001B" w:rsidP="0051001B">
      <w:pPr>
        <w:widowControl w:val="0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 pozostałe wydatki bieżące ( bez wyszczególniania)</w:t>
      </w:r>
    </w:p>
    <w:p w:rsidR="0051001B" w:rsidRPr="0051001B" w:rsidRDefault="0051001B" w:rsidP="0051001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Dodatkowo wyodrębniono wydatki związane z funkcjonowaniem organów JST.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Zgodnie z założeniami przyjętymi przy prognozie dochodów, dla wydatków bieżących          w roku 2016 przyjęto projekt budżetu. W latach 2017-2019 dokonano indeksacji o wagi wskaźników inflacji oraz PKB.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Od roku 2018 przyjęto stałe wartości z roku 2017 stosując odchylenia w wydatkach pozostałych o kwotę zmniejszeń wydatków związanych z obsługą długu, które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zostały wyliczone zgodnie z harmonogramem spłaty zobowiązań już zaciągniętych oraz planowanych do zaciągnięcia w badanym okresie.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8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Inwestycje (wydatki majątkowe)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Wydatki majątkowe w okresie objętym prognozą zostały rozpisane w załączniku nr 2 do uchwały, gdzie ujęto przedsięwzięcia o charakterze inwestycyjnym.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 latach 2016 -2019  ustalono, iż część  środków wolnych środków oraz  wypracowanej  nadwyżki  budżetowej przeznaczy się na spłatę długu oraz wydatki majątkowe.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8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Wynik budżetu, wynik z działalności operacyjnej (bieżącej)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Wynik budżetu w prognozowanym okresie jest ściśle powiązany z przyjętymi założeniami do prognozy dochodów i wydatków. Należy podkreślić fakt, iż w badanym okresie historycznym wynik kształtował się na podobnym poziomie jaki przyjęto w analizie.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Wynik z działalności operacyjnej (bieżącej) jest pozycją bardzo istotną na skutek zapisu        w  art. 242 Ustawy – organ stanowiący nie może uchwalić budżetu, w którym wydatki bieżące są wyższe od dochodów bieżących powiększonych o nadwyżkę z lat ubiegłych i wolne środki. Należy podkreślić, iż zgodnie z prognozą w całym badanym okresie nie ma zagrożenia naruszenia powyższego zapisu.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8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Przychody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W prognozowanym okresie po stronie przychodów ujęto  środki pochodzące  z wolnych środków oraz kredyt zaciągnięty na realizację zadań inwestycyjnych przyjetych do prognozy budżetu w roku 2016.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Zgodnie z prognozą w najbliższych latach nie  planuje się zaciągania  zobowiązań: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11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Rozchody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Po stronie rozchodów w prognozowanym okresie przyjęto tylko przepływy związane ze spłatą rat kapitałowych zaciągniętych oraz planowanego do zaciągnięcia kredytu.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Ostatnie raty kapitałowe, w badanym okresie zostały zaplanowane na rok 2019.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Szczegółowe wartości spłat dla poszczególnych lat przedstawia Załącznik Nr 1.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8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Relacja z art. 243. Ustawy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>Począwszy od roku 2014 do końca okresu prognozowania sytuacja finansowa Gminy Lubrza  pozwala na spełnienie ustawowych obostrzeń dotyczących zadłużenia zapewniając jednocześnie stały  i stabilny poziom płynności finansowej.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numPr>
          <w:ilvl w:val="0"/>
          <w:numId w:val="8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1B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1B">
        <w:rPr>
          <w:rFonts w:ascii="Times New Roman" w:hAnsi="Times New Roman" w:cs="Times New Roman"/>
          <w:sz w:val="24"/>
          <w:szCs w:val="24"/>
        </w:rPr>
        <w:t xml:space="preserve">Przyjęte w Wieloletniej Prognozie Finansowej Gminy wartości w poszczególnych kategoriach zostały zaprognozowane, w ocenie osób sporządzających prognozę, w sposób bezpieczny. Przyjęty podział na kategorie wykorzystane do prognozowania zapewnia możliwie dokładne odwzorowanie tendencji historycznych w latach przyszłych. Dodatkowe korekty </w:t>
      </w:r>
      <w:r w:rsidRPr="0051001B">
        <w:rPr>
          <w:rFonts w:ascii="Times New Roman" w:hAnsi="Times New Roman" w:cs="Times New Roman"/>
          <w:sz w:val="24"/>
          <w:szCs w:val="24"/>
        </w:rPr>
        <w:lastRenderedPageBreak/>
        <w:t xml:space="preserve">merytoryczne umożliwiają urealnienie prognozy w jak największym stopniu. Prognoza dochodów i wydatków w pierwszej fazie tworzenia prognozy pozwala na realne oszacowanie możliwości inwestycyjnych Gminy. </w:t>
      </w:r>
    </w:p>
    <w:p w:rsidR="0051001B" w:rsidRPr="0051001B" w:rsidRDefault="0051001B" w:rsidP="0051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1B" w:rsidRPr="0051001B" w:rsidRDefault="0051001B" w:rsidP="00510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D3" w:rsidRDefault="00BA64D3">
      <w:bookmarkStart w:id="0" w:name="_GoBack"/>
      <w:bookmarkEnd w:id="0"/>
    </w:p>
    <w:sectPr w:rsidR="00BA64D3" w:rsidSect="00B222AB"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AB" w:rsidRDefault="0051001B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2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3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5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2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3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78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2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3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1B"/>
    <w:rsid w:val="0051001B"/>
    <w:rsid w:val="00B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100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100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</cp:revision>
  <dcterms:created xsi:type="dcterms:W3CDTF">2015-11-16T12:02:00Z</dcterms:created>
  <dcterms:modified xsi:type="dcterms:W3CDTF">2015-11-16T12:02:00Z</dcterms:modified>
</cp:coreProperties>
</file>